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FB93" w14:textId="77777777" w:rsidR="006D12D5" w:rsidRDefault="006D12D5" w:rsidP="006D12D5">
      <w:pPr>
        <w:ind w:left="5760" w:hanging="5760"/>
        <w:rPr>
          <w:rFonts w:ascii="Verdana" w:hAnsi="Verdana"/>
          <w:b/>
          <w:bCs/>
          <w:sz w:val="20"/>
          <w:szCs w:val="20"/>
        </w:rPr>
      </w:pPr>
      <w:r w:rsidRPr="006D12D5">
        <w:rPr>
          <w:rFonts w:ascii="Verdana" w:hAnsi="Verdana"/>
          <w:b/>
          <w:bCs/>
          <w:sz w:val="20"/>
          <w:szCs w:val="20"/>
        </w:rPr>
        <w:t xml:space="preserve">          </w:t>
      </w:r>
    </w:p>
    <w:p w14:paraId="4BCEDBA4" w14:textId="77777777" w:rsidR="006D12D5" w:rsidRDefault="006D12D5" w:rsidP="006D12D5">
      <w:pPr>
        <w:ind w:left="5760" w:hanging="5760"/>
        <w:rPr>
          <w:rFonts w:ascii="Verdana" w:hAnsi="Verdana"/>
          <w:b/>
          <w:bCs/>
          <w:sz w:val="20"/>
          <w:szCs w:val="20"/>
        </w:rPr>
      </w:pPr>
    </w:p>
    <w:p w14:paraId="2960D682" w14:textId="77777777" w:rsidR="006D12D5" w:rsidRDefault="006D12D5" w:rsidP="006D12D5">
      <w:pPr>
        <w:ind w:left="5760" w:hanging="5760"/>
        <w:rPr>
          <w:rFonts w:ascii="Verdana" w:hAnsi="Verdana"/>
          <w:b/>
          <w:bCs/>
          <w:sz w:val="20"/>
          <w:szCs w:val="20"/>
        </w:rPr>
      </w:pPr>
    </w:p>
    <w:p w14:paraId="65899AD5" w14:textId="77777777" w:rsidR="006D12D5" w:rsidRDefault="006D12D5" w:rsidP="006D12D5">
      <w:pPr>
        <w:ind w:left="5760" w:hanging="5760"/>
        <w:rPr>
          <w:rFonts w:ascii="Verdana" w:hAnsi="Verdana"/>
          <w:b/>
          <w:bCs/>
          <w:sz w:val="20"/>
          <w:szCs w:val="20"/>
        </w:rPr>
      </w:pPr>
    </w:p>
    <w:p w14:paraId="56C2B777" w14:textId="77777777" w:rsidR="006D12D5" w:rsidRDefault="006D12D5" w:rsidP="006D12D5">
      <w:pPr>
        <w:ind w:left="5760" w:hanging="5760"/>
        <w:rPr>
          <w:rFonts w:ascii="Verdana" w:hAnsi="Verdana"/>
          <w:b/>
          <w:bCs/>
          <w:sz w:val="20"/>
          <w:szCs w:val="20"/>
        </w:rPr>
      </w:pPr>
    </w:p>
    <w:p w14:paraId="6C3185F3" w14:textId="77777777" w:rsidR="006D12D5" w:rsidRDefault="006D12D5" w:rsidP="006D12D5">
      <w:pPr>
        <w:ind w:left="5760" w:hanging="5760"/>
        <w:rPr>
          <w:rFonts w:ascii="Verdana" w:hAnsi="Verdana"/>
          <w:b/>
          <w:bCs/>
          <w:sz w:val="20"/>
          <w:szCs w:val="20"/>
        </w:rPr>
      </w:pPr>
    </w:p>
    <w:p w14:paraId="268E3EBD" w14:textId="2FD1E4E1" w:rsidR="006D12D5" w:rsidRPr="006D12D5" w:rsidRDefault="006D12D5" w:rsidP="006D12D5">
      <w:pPr>
        <w:ind w:left="5760" w:hanging="5760"/>
        <w:rPr>
          <w:rFonts w:ascii="Verdana" w:hAnsi="Verdana"/>
          <w:b/>
          <w:bCs/>
          <w:sz w:val="20"/>
          <w:szCs w:val="20"/>
        </w:rPr>
      </w:pPr>
      <w:r>
        <w:rPr>
          <w:rFonts w:ascii="Verdana" w:hAnsi="Verdana"/>
          <w:b/>
          <w:bCs/>
          <w:sz w:val="20"/>
          <w:szCs w:val="20"/>
        </w:rPr>
        <w:t xml:space="preserve">           </w:t>
      </w:r>
      <w:r w:rsidRPr="006D12D5">
        <w:rPr>
          <w:rFonts w:ascii="Verdana" w:hAnsi="Verdana"/>
          <w:b/>
          <w:bCs/>
          <w:sz w:val="20"/>
          <w:szCs w:val="20"/>
        </w:rPr>
        <w:t xml:space="preserve">         ANEKS </w:t>
      </w:r>
      <w:r w:rsidR="00B10E65">
        <w:rPr>
          <w:rFonts w:ascii="Verdana" w:hAnsi="Verdana"/>
          <w:b/>
          <w:bCs/>
          <w:sz w:val="20"/>
          <w:szCs w:val="20"/>
        </w:rPr>
        <w:t>3</w:t>
      </w:r>
      <w:r w:rsidRPr="006D12D5">
        <w:rPr>
          <w:rFonts w:ascii="Verdana" w:hAnsi="Verdana"/>
          <w:b/>
          <w:bCs/>
          <w:sz w:val="20"/>
          <w:szCs w:val="20"/>
        </w:rPr>
        <w:tab/>
      </w:r>
      <w:r w:rsidRPr="006D12D5">
        <w:rPr>
          <w:rFonts w:ascii="Verdana" w:hAnsi="Verdana"/>
          <w:b/>
          <w:bCs/>
          <w:sz w:val="20"/>
          <w:szCs w:val="20"/>
        </w:rPr>
        <w:tab/>
        <w:t xml:space="preserve">ANNEX </w:t>
      </w:r>
      <w:r w:rsidR="00B10E65">
        <w:rPr>
          <w:rFonts w:ascii="Verdana" w:hAnsi="Verdana"/>
          <w:b/>
          <w:bCs/>
          <w:sz w:val="20"/>
          <w:szCs w:val="20"/>
        </w:rPr>
        <w:t>3</w:t>
      </w:r>
    </w:p>
    <w:p w14:paraId="379C7319" w14:textId="3FCD8F6C" w:rsidR="006D12D5" w:rsidRDefault="006D12D5" w:rsidP="006D12D5">
      <w:pPr>
        <w:ind w:left="5760" w:hanging="5760"/>
        <w:rPr>
          <w:rFonts w:ascii="Verdana" w:hAnsi="Verdana"/>
          <w:b/>
          <w:bCs/>
          <w:sz w:val="20"/>
          <w:szCs w:val="20"/>
        </w:rPr>
      </w:pPr>
      <w:r w:rsidRPr="006D12D5">
        <w:rPr>
          <w:rFonts w:ascii="Verdana" w:hAnsi="Verdana"/>
          <w:b/>
          <w:bCs/>
          <w:sz w:val="20"/>
          <w:szCs w:val="20"/>
        </w:rPr>
        <w:t xml:space="preserve">UGOVORA O SAKUPLJANJU OTPADA         </w:t>
      </w:r>
      <w:r>
        <w:rPr>
          <w:rFonts w:ascii="Verdana" w:hAnsi="Verdana"/>
          <w:b/>
          <w:bCs/>
          <w:sz w:val="20"/>
          <w:szCs w:val="20"/>
        </w:rPr>
        <w:t xml:space="preserve"> </w:t>
      </w:r>
      <w:r w:rsidRPr="006D12D5">
        <w:rPr>
          <w:rFonts w:ascii="Verdana" w:hAnsi="Verdana"/>
          <w:b/>
          <w:bCs/>
          <w:sz w:val="20"/>
          <w:szCs w:val="20"/>
        </w:rPr>
        <w:t>TO THE WASTE COLLECTION AGREEMENT</w:t>
      </w:r>
    </w:p>
    <w:p w14:paraId="4EFBB850" w14:textId="77777777" w:rsidR="006D12D5" w:rsidRPr="006D12D5" w:rsidRDefault="006D12D5" w:rsidP="006D12D5">
      <w:pPr>
        <w:ind w:left="5760" w:hanging="5760"/>
        <w:rPr>
          <w:rFonts w:ascii="Verdana" w:hAnsi="Verdana"/>
          <w:b/>
          <w:bCs/>
          <w:sz w:val="20"/>
          <w:szCs w:val="20"/>
        </w:rPr>
      </w:pPr>
    </w:p>
    <w:p w14:paraId="34962102" w14:textId="2D478A41" w:rsidR="006D12D5" w:rsidRDefault="006D12D5" w:rsidP="006D12D5">
      <w:pPr>
        <w:rPr>
          <w:rFonts w:ascii="Verdana" w:hAnsi="Verdana"/>
          <w:b/>
          <w:bCs/>
          <w:sz w:val="20"/>
          <w:szCs w:val="20"/>
        </w:rPr>
      </w:pPr>
    </w:p>
    <w:p w14:paraId="199EF7D4" w14:textId="77777777" w:rsidR="000576E8" w:rsidRDefault="000576E8" w:rsidP="006D12D5">
      <w:pPr>
        <w:rPr>
          <w:rFonts w:ascii="Verdana" w:hAnsi="Verdana"/>
          <w:b/>
          <w:bCs/>
          <w:sz w:val="20"/>
          <w:szCs w:val="20"/>
        </w:rPr>
      </w:pPr>
    </w:p>
    <w:p w14:paraId="583F2F10" w14:textId="77777777" w:rsidR="000576E8" w:rsidRDefault="000576E8" w:rsidP="006D12D5">
      <w:pPr>
        <w:rPr>
          <w:rFonts w:ascii="Verdana" w:hAnsi="Verdana"/>
          <w:b/>
          <w:bCs/>
          <w:sz w:val="20"/>
          <w:szCs w:val="20"/>
        </w:rPr>
      </w:pPr>
    </w:p>
    <w:p w14:paraId="366C55E9" w14:textId="77777777" w:rsidR="000576E8" w:rsidRDefault="000576E8" w:rsidP="006D12D5">
      <w:pPr>
        <w:rPr>
          <w:rFonts w:ascii="Verdana" w:hAnsi="Verdana"/>
          <w:b/>
          <w:bCs/>
          <w:sz w:val="20"/>
          <w:szCs w:val="20"/>
        </w:rPr>
      </w:pPr>
    </w:p>
    <w:p w14:paraId="2F7624DB" w14:textId="77777777" w:rsidR="000576E8" w:rsidRDefault="000576E8" w:rsidP="006D12D5">
      <w:pPr>
        <w:rPr>
          <w:rFonts w:ascii="Verdana" w:hAnsi="Verdana"/>
          <w:b/>
          <w:bCs/>
          <w:sz w:val="20"/>
          <w:szCs w:val="20"/>
        </w:rPr>
      </w:pPr>
    </w:p>
    <w:p w14:paraId="176EE021" w14:textId="77777777" w:rsidR="000576E8" w:rsidRPr="006D12D5" w:rsidRDefault="000576E8" w:rsidP="006D12D5">
      <w:pPr>
        <w:rPr>
          <w:rFonts w:ascii="Verdana" w:hAnsi="Verdana"/>
          <w:b/>
          <w:bCs/>
          <w:sz w:val="20"/>
          <w:szCs w:val="20"/>
        </w:rPr>
      </w:pPr>
    </w:p>
    <w:p w14:paraId="2120A4EF" w14:textId="5A4D5B40" w:rsidR="006D12D5" w:rsidRPr="000576E8" w:rsidRDefault="006D12D5" w:rsidP="006D12D5">
      <w:pPr>
        <w:rPr>
          <w:rFonts w:ascii="Verdana" w:hAnsi="Verdana"/>
          <w:sz w:val="20"/>
          <w:szCs w:val="20"/>
        </w:rPr>
      </w:pPr>
      <w:r>
        <w:rPr>
          <w:rFonts w:ascii="Verdana" w:hAnsi="Verdana"/>
          <w:b/>
          <w:bCs/>
          <w:sz w:val="20"/>
          <w:szCs w:val="20"/>
        </w:rPr>
        <w:t xml:space="preserve">            </w:t>
      </w:r>
      <w:r w:rsidRPr="000576E8">
        <w:rPr>
          <w:rFonts w:ascii="Verdana" w:hAnsi="Verdana"/>
          <w:sz w:val="20"/>
          <w:szCs w:val="20"/>
        </w:rPr>
        <w:t xml:space="preserve">  zaključen između</w:t>
      </w:r>
      <w:r w:rsidRPr="000576E8">
        <w:rPr>
          <w:rFonts w:ascii="Verdana" w:hAnsi="Verdana"/>
          <w:sz w:val="20"/>
          <w:szCs w:val="20"/>
        </w:rPr>
        <w:tab/>
      </w:r>
      <w:r w:rsidRPr="000576E8">
        <w:rPr>
          <w:rFonts w:ascii="Verdana" w:hAnsi="Verdana"/>
          <w:sz w:val="20"/>
          <w:szCs w:val="20"/>
        </w:rPr>
        <w:tab/>
      </w:r>
      <w:r w:rsidRPr="000576E8">
        <w:rPr>
          <w:rFonts w:ascii="Verdana" w:hAnsi="Verdana"/>
          <w:sz w:val="20"/>
          <w:szCs w:val="20"/>
        </w:rPr>
        <w:tab/>
      </w:r>
      <w:r w:rsidRPr="000576E8">
        <w:rPr>
          <w:rFonts w:ascii="Verdana" w:hAnsi="Verdana"/>
          <w:sz w:val="20"/>
          <w:szCs w:val="20"/>
        </w:rPr>
        <w:tab/>
        <w:t xml:space="preserve"> </w:t>
      </w:r>
      <w:r w:rsidR="000576E8">
        <w:rPr>
          <w:rFonts w:ascii="Verdana" w:hAnsi="Verdana"/>
          <w:sz w:val="20"/>
          <w:szCs w:val="20"/>
        </w:rPr>
        <w:t xml:space="preserve">          </w:t>
      </w:r>
      <w:r w:rsidRPr="000576E8">
        <w:rPr>
          <w:rFonts w:ascii="Verdana" w:hAnsi="Verdana"/>
          <w:sz w:val="20"/>
          <w:szCs w:val="20"/>
        </w:rPr>
        <w:t xml:space="preserve">   by and between</w:t>
      </w:r>
    </w:p>
    <w:p w14:paraId="6B5C772B" w14:textId="77777777" w:rsidR="006D12D5" w:rsidRDefault="006D12D5" w:rsidP="006D12D5">
      <w:pPr>
        <w:rPr>
          <w:rFonts w:ascii="Verdana" w:hAnsi="Verdana"/>
          <w:b/>
          <w:bCs/>
          <w:sz w:val="20"/>
          <w:szCs w:val="20"/>
        </w:rPr>
      </w:pPr>
    </w:p>
    <w:p w14:paraId="28F614C0" w14:textId="77777777" w:rsidR="006D12D5" w:rsidRDefault="006D12D5" w:rsidP="006D12D5">
      <w:pPr>
        <w:rPr>
          <w:rFonts w:ascii="Verdana" w:hAnsi="Verdana"/>
          <w:b/>
          <w:bCs/>
          <w:sz w:val="20"/>
          <w:szCs w:val="20"/>
        </w:rPr>
      </w:pPr>
    </w:p>
    <w:p w14:paraId="67071E59" w14:textId="77777777" w:rsidR="006D12D5" w:rsidRDefault="006D12D5" w:rsidP="006D12D5">
      <w:pPr>
        <w:rPr>
          <w:rFonts w:ascii="Verdana" w:hAnsi="Verdana"/>
          <w:b/>
          <w:bCs/>
          <w:sz w:val="20"/>
          <w:szCs w:val="20"/>
        </w:rPr>
      </w:pPr>
    </w:p>
    <w:p w14:paraId="2E9B2785" w14:textId="77777777" w:rsidR="000576E8" w:rsidRDefault="000576E8" w:rsidP="006D12D5">
      <w:pPr>
        <w:rPr>
          <w:rFonts w:ascii="Verdana" w:hAnsi="Verdana"/>
          <w:b/>
          <w:bCs/>
          <w:sz w:val="20"/>
          <w:szCs w:val="20"/>
        </w:rPr>
      </w:pPr>
    </w:p>
    <w:p w14:paraId="0FA43E94" w14:textId="77777777" w:rsidR="000576E8" w:rsidRDefault="000576E8" w:rsidP="006D12D5">
      <w:pPr>
        <w:rPr>
          <w:rFonts w:ascii="Verdana" w:hAnsi="Verdana"/>
          <w:b/>
          <w:bCs/>
          <w:sz w:val="20"/>
          <w:szCs w:val="20"/>
        </w:rPr>
      </w:pPr>
    </w:p>
    <w:p w14:paraId="601434E7" w14:textId="71B1768B" w:rsidR="006D12D5" w:rsidRDefault="000576E8" w:rsidP="006D12D5">
      <w:pPr>
        <w:rPr>
          <w:rFonts w:ascii="Verdana" w:hAnsi="Verdana"/>
          <w:b/>
          <w:bCs/>
          <w:sz w:val="20"/>
          <w:szCs w:val="20"/>
        </w:rPr>
      </w:pPr>
      <w:r>
        <w:rPr>
          <w:rFonts w:ascii="Verdana" w:hAnsi="Verdana"/>
          <w:b/>
          <w:bCs/>
          <w:sz w:val="20"/>
          <w:szCs w:val="20"/>
        </w:rPr>
        <w:t xml:space="preserve">             </w:t>
      </w:r>
      <w:r w:rsidR="006D12D5">
        <w:rPr>
          <w:rFonts w:ascii="Verdana" w:hAnsi="Verdana"/>
          <w:b/>
          <w:bCs/>
          <w:sz w:val="20"/>
          <w:szCs w:val="20"/>
        </w:rPr>
        <w:t>Opštine Lapovo</w:t>
      </w:r>
      <w:r w:rsidR="006D12D5">
        <w:rPr>
          <w:rFonts w:ascii="Verdana" w:hAnsi="Verdana"/>
          <w:b/>
          <w:bCs/>
          <w:sz w:val="20"/>
          <w:szCs w:val="20"/>
        </w:rPr>
        <w:tab/>
      </w:r>
      <w:r w:rsidR="006D12D5">
        <w:rPr>
          <w:rFonts w:ascii="Verdana" w:hAnsi="Verdana"/>
          <w:b/>
          <w:bCs/>
          <w:sz w:val="20"/>
          <w:szCs w:val="20"/>
        </w:rPr>
        <w:tab/>
      </w:r>
      <w:r w:rsidR="006D12D5">
        <w:rPr>
          <w:rFonts w:ascii="Verdana" w:hAnsi="Verdana"/>
          <w:b/>
          <w:bCs/>
          <w:sz w:val="20"/>
          <w:szCs w:val="20"/>
        </w:rPr>
        <w:tab/>
      </w:r>
      <w:r w:rsidR="006D12D5">
        <w:rPr>
          <w:rFonts w:ascii="Verdana" w:hAnsi="Verdana"/>
          <w:b/>
          <w:bCs/>
          <w:sz w:val="20"/>
          <w:szCs w:val="20"/>
        </w:rPr>
        <w:tab/>
      </w:r>
      <w:r w:rsidR="006D12D5">
        <w:rPr>
          <w:rFonts w:ascii="Verdana" w:hAnsi="Verdana"/>
          <w:b/>
          <w:bCs/>
          <w:sz w:val="20"/>
          <w:szCs w:val="20"/>
        </w:rPr>
        <w:tab/>
      </w:r>
      <w:r>
        <w:rPr>
          <w:rFonts w:ascii="Verdana" w:hAnsi="Verdana"/>
          <w:b/>
          <w:bCs/>
          <w:sz w:val="20"/>
          <w:szCs w:val="20"/>
        </w:rPr>
        <w:t xml:space="preserve"> </w:t>
      </w:r>
      <w:r w:rsidR="006D12D5">
        <w:rPr>
          <w:rFonts w:ascii="Verdana" w:hAnsi="Verdana"/>
          <w:b/>
          <w:bCs/>
          <w:sz w:val="20"/>
          <w:szCs w:val="20"/>
        </w:rPr>
        <w:t>Municipalit</w:t>
      </w:r>
      <w:r>
        <w:rPr>
          <w:rFonts w:ascii="Verdana" w:hAnsi="Verdana"/>
          <w:b/>
          <w:bCs/>
          <w:sz w:val="20"/>
          <w:szCs w:val="20"/>
        </w:rPr>
        <w:t>y of Lapovo</w:t>
      </w:r>
    </w:p>
    <w:p w14:paraId="0C09307B" w14:textId="77777777" w:rsidR="000576E8" w:rsidRDefault="000576E8" w:rsidP="006D12D5">
      <w:pPr>
        <w:rPr>
          <w:rFonts w:ascii="Verdana" w:hAnsi="Verdana"/>
          <w:b/>
          <w:bCs/>
          <w:sz w:val="20"/>
          <w:szCs w:val="20"/>
        </w:rPr>
      </w:pPr>
    </w:p>
    <w:p w14:paraId="70865FD2" w14:textId="77777777" w:rsidR="000576E8" w:rsidRDefault="000576E8" w:rsidP="006D12D5">
      <w:pPr>
        <w:rPr>
          <w:rFonts w:ascii="Verdana" w:hAnsi="Verdana"/>
          <w:b/>
          <w:bCs/>
          <w:sz w:val="20"/>
          <w:szCs w:val="20"/>
        </w:rPr>
      </w:pPr>
    </w:p>
    <w:p w14:paraId="39C1C60D" w14:textId="00E5A3CB" w:rsidR="000576E8" w:rsidRPr="000576E8" w:rsidRDefault="000576E8" w:rsidP="006D12D5">
      <w:pPr>
        <w:rPr>
          <w:rFonts w:ascii="Verdana" w:hAnsi="Verdana"/>
          <w:sz w:val="20"/>
          <w:szCs w:val="20"/>
        </w:rPr>
      </w:pPr>
      <w:r>
        <w:rPr>
          <w:rFonts w:ascii="Verdana" w:hAnsi="Verdana"/>
          <w:b/>
          <w:bCs/>
          <w:sz w:val="20"/>
          <w:szCs w:val="20"/>
        </w:rPr>
        <w:tab/>
      </w:r>
      <w:r w:rsidRPr="000576E8">
        <w:rPr>
          <w:rFonts w:ascii="Verdana" w:hAnsi="Verdana"/>
          <w:sz w:val="20"/>
          <w:szCs w:val="20"/>
        </w:rPr>
        <w:tab/>
        <w:t xml:space="preserve">   </w:t>
      </w:r>
      <w:r>
        <w:rPr>
          <w:rFonts w:ascii="Verdana" w:hAnsi="Verdana"/>
          <w:sz w:val="20"/>
          <w:szCs w:val="20"/>
        </w:rPr>
        <w:t>i</w:t>
      </w:r>
      <w:r w:rsidRPr="000576E8">
        <w:rPr>
          <w:rFonts w:ascii="Verdana" w:hAnsi="Verdana"/>
          <w:sz w:val="20"/>
          <w:szCs w:val="20"/>
        </w:rPr>
        <w:tab/>
      </w:r>
      <w:r w:rsidRPr="000576E8">
        <w:rPr>
          <w:rFonts w:ascii="Verdana" w:hAnsi="Verdana"/>
          <w:sz w:val="20"/>
          <w:szCs w:val="20"/>
        </w:rPr>
        <w:tab/>
      </w:r>
      <w:r w:rsidRPr="000576E8">
        <w:rPr>
          <w:rFonts w:ascii="Verdana" w:hAnsi="Verdana"/>
          <w:sz w:val="20"/>
          <w:szCs w:val="20"/>
        </w:rPr>
        <w:tab/>
      </w:r>
      <w:r w:rsidRPr="000576E8">
        <w:rPr>
          <w:rFonts w:ascii="Verdana" w:hAnsi="Verdana"/>
          <w:sz w:val="20"/>
          <w:szCs w:val="20"/>
        </w:rPr>
        <w:tab/>
      </w:r>
      <w:r w:rsidRPr="000576E8">
        <w:rPr>
          <w:rFonts w:ascii="Verdana" w:hAnsi="Verdana"/>
          <w:sz w:val="20"/>
          <w:szCs w:val="20"/>
        </w:rPr>
        <w:tab/>
      </w:r>
      <w:r w:rsidRPr="000576E8">
        <w:rPr>
          <w:rFonts w:ascii="Verdana" w:hAnsi="Verdana"/>
          <w:sz w:val="20"/>
          <w:szCs w:val="20"/>
        </w:rPr>
        <w:tab/>
        <w:t xml:space="preserve">              and </w:t>
      </w:r>
    </w:p>
    <w:p w14:paraId="03984515" w14:textId="77777777" w:rsidR="000576E8" w:rsidRDefault="000576E8" w:rsidP="006D12D5">
      <w:pPr>
        <w:rPr>
          <w:rFonts w:ascii="Verdana" w:hAnsi="Verdana"/>
          <w:b/>
          <w:bCs/>
          <w:sz w:val="20"/>
          <w:szCs w:val="20"/>
        </w:rPr>
      </w:pPr>
    </w:p>
    <w:p w14:paraId="021204C9" w14:textId="77777777" w:rsidR="000576E8" w:rsidRDefault="000576E8" w:rsidP="006D12D5">
      <w:pPr>
        <w:rPr>
          <w:rFonts w:ascii="Verdana" w:hAnsi="Verdana"/>
          <w:b/>
          <w:bCs/>
          <w:sz w:val="20"/>
          <w:szCs w:val="20"/>
        </w:rPr>
      </w:pPr>
    </w:p>
    <w:p w14:paraId="40350DD1" w14:textId="77777777" w:rsidR="000576E8" w:rsidRDefault="000576E8" w:rsidP="006D12D5">
      <w:pPr>
        <w:rPr>
          <w:rFonts w:ascii="Verdana" w:hAnsi="Verdana"/>
          <w:b/>
          <w:bCs/>
          <w:sz w:val="20"/>
          <w:szCs w:val="20"/>
        </w:rPr>
      </w:pPr>
    </w:p>
    <w:p w14:paraId="4FD1E91F" w14:textId="04C959D3" w:rsidR="000576E8" w:rsidRDefault="000576E8" w:rsidP="006D12D5">
      <w:pPr>
        <w:rPr>
          <w:rFonts w:ascii="Verdana" w:hAnsi="Verdana"/>
          <w:b/>
          <w:bCs/>
          <w:sz w:val="20"/>
          <w:szCs w:val="20"/>
        </w:rPr>
      </w:pPr>
      <w:r>
        <w:rPr>
          <w:rFonts w:ascii="Verdana" w:hAnsi="Verdana"/>
          <w:b/>
          <w:bCs/>
          <w:sz w:val="20"/>
          <w:szCs w:val="20"/>
        </w:rPr>
        <w:t xml:space="preserve">         FCC Vrbak doo Lapovo</w:t>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t xml:space="preserve"> FCC Vrbak doo Lapovo</w:t>
      </w:r>
    </w:p>
    <w:p w14:paraId="5B4C3AE0" w14:textId="77777777" w:rsidR="000576E8" w:rsidRDefault="000576E8" w:rsidP="006D12D5">
      <w:pPr>
        <w:rPr>
          <w:rFonts w:ascii="Verdana" w:hAnsi="Verdana"/>
          <w:b/>
          <w:bCs/>
          <w:sz w:val="20"/>
          <w:szCs w:val="20"/>
        </w:rPr>
      </w:pPr>
    </w:p>
    <w:p w14:paraId="1C820181" w14:textId="77777777" w:rsidR="000576E8" w:rsidRDefault="000576E8" w:rsidP="006D12D5">
      <w:pPr>
        <w:rPr>
          <w:rFonts w:ascii="Verdana" w:hAnsi="Verdana"/>
          <w:b/>
          <w:bCs/>
          <w:sz w:val="20"/>
          <w:szCs w:val="20"/>
        </w:rPr>
      </w:pPr>
    </w:p>
    <w:p w14:paraId="571AB9F8" w14:textId="77777777" w:rsidR="000576E8" w:rsidRDefault="000576E8" w:rsidP="006D12D5">
      <w:pPr>
        <w:rPr>
          <w:rFonts w:ascii="Verdana" w:hAnsi="Verdana"/>
          <w:b/>
          <w:bCs/>
          <w:sz w:val="20"/>
          <w:szCs w:val="20"/>
        </w:rPr>
      </w:pPr>
    </w:p>
    <w:p w14:paraId="0F860D2E" w14:textId="77777777" w:rsidR="000576E8" w:rsidRDefault="000576E8" w:rsidP="006D12D5">
      <w:pPr>
        <w:rPr>
          <w:rFonts w:ascii="Verdana" w:hAnsi="Verdana"/>
          <w:b/>
          <w:bCs/>
          <w:sz w:val="20"/>
          <w:szCs w:val="20"/>
        </w:rPr>
      </w:pPr>
    </w:p>
    <w:p w14:paraId="342B5527" w14:textId="77777777" w:rsidR="000576E8" w:rsidRDefault="000576E8" w:rsidP="006D12D5">
      <w:pPr>
        <w:rPr>
          <w:rFonts w:ascii="Verdana" w:hAnsi="Verdana"/>
          <w:b/>
          <w:bCs/>
          <w:sz w:val="20"/>
          <w:szCs w:val="20"/>
        </w:rPr>
      </w:pPr>
    </w:p>
    <w:p w14:paraId="171019A2" w14:textId="77777777" w:rsidR="000576E8" w:rsidRDefault="000576E8" w:rsidP="006D12D5">
      <w:pPr>
        <w:rPr>
          <w:rFonts w:ascii="Verdana" w:hAnsi="Verdana"/>
          <w:b/>
          <w:bCs/>
          <w:sz w:val="20"/>
          <w:szCs w:val="20"/>
        </w:rPr>
      </w:pPr>
    </w:p>
    <w:p w14:paraId="1AF90CF7" w14:textId="77777777" w:rsidR="000576E8" w:rsidRDefault="000576E8" w:rsidP="006D12D5">
      <w:pPr>
        <w:rPr>
          <w:rFonts w:ascii="Verdana" w:hAnsi="Verdana"/>
          <w:b/>
          <w:bCs/>
          <w:sz w:val="20"/>
          <w:szCs w:val="20"/>
        </w:rPr>
      </w:pPr>
    </w:p>
    <w:p w14:paraId="5DB19E8B" w14:textId="77777777" w:rsidR="000576E8" w:rsidRDefault="000576E8" w:rsidP="006D12D5">
      <w:pPr>
        <w:rPr>
          <w:rFonts w:ascii="Verdana" w:hAnsi="Verdana"/>
          <w:b/>
          <w:bCs/>
          <w:sz w:val="20"/>
          <w:szCs w:val="20"/>
        </w:rPr>
      </w:pPr>
    </w:p>
    <w:p w14:paraId="0D58957B" w14:textId="77777777" w:rsidR="000576E8" w:rsidRDefault="000576E8" w:rsidP="006D12D5">
      <w:pPr>
        <w:rPr>
          <w:rFonts w:ascii="Verdana" w:hAnsi="Verdana"/>
          <w:b/>
          <w:bCs/>
          <w:sz w:val="20"/>
          <w:szCs w:val="20"/>
        </w:rPr>
      </w:pPr>
    </w:p>
    <w:p w14:paraId="232CBFD8" w14:textId="77777777" w:rsidR="000576E8" w:rsidRDefault="000576E8" w:rsidP="006D12D5">
      <w:pPr>
        <w:rPr>
          <w:rFonts w:ascii="Verdana" w:hAnsi="Verdana"/>
          <w:b/>
          <w:bCs/>
          <w:sz w:val="20"/>
          <w:szCs w:val="20"/>
        </w:rPr>
      </w:pPr>
    </w:p>
    <w:p w14:paraId="54A2896B" w14:textId="77777777" w:rsidR="000576E8" w:rsidRDefault="000576E8" w:rsidP="006D12D5">
      <w:pPr>
        <w:rPr>
          <w:rFonts w:ascii="Verdana" w:hAnsi="Verdana"/>
          <w:b/>
          <w:bCs/>
          <w:sz w:val="20"/>
          <w:szCs w:val="20"/>
        </w:rPr>
      </w:pPr>
    </w:p>
    <w:p w14:paraId="6B2DBDAC" w14:textId="77777777" w:rsidR="000576E8" w:rsidRDefault="000576E8" w:rsidP="006D12D5">
      <w:pPr>
        <w:rPr>
          <w:rFonts w:ascii="Verdana" w:hAnsi="Verdana"/>
          <w:b/>
          <w:bCs/>
          <w:sz w:val="20"/>
          <w:szCs w:val="20"/>
        </w:rPr>
      </w:pPr>
    </w:p>
    <w:p w14:paraId="233F7C4C" w14:textId="77777777" w:rsidR="000576E8" w:rsidRDefault="000576E8" w:rsidP="006D12D5">
      <w:pPr>
        <w:rPr>
          <w:rFonts w:ascii="Verdana" w:hAnsi="Verdana"/>
          <w:b/>
          <w:bCs/>
          <w:sz w:val="20"/>
          <w:szCs w:val="20"/>
        </w:rPr>
      </w:pPr>
    </w:p>
    <w:p w14:paraId="17B29CBE" w14:textId="77777777" w:rsidR="000576E8" w:rsidRDefault="000576E8" w:rsidP="006D12D5">
      <w:pPr>
        <w:rPr>
          <w:rFonts w:ascii="Verdana" w:hAnsi="Verdana"/>
          <w:b/>
          <w:bCs/>
          <w:sz w:val="20"/>
          <w:szCs w:val="20"/>
        </w:rPr>
      </w:pPr>
    </w:p>
    <w:p w14:paraId="72AF108A" w14:textId="77777777" w:rsidR="000576E8" w:rsidRDefault="000576E8" w:rsidP="006D12D5">
      <w:pPr>
        <w:rPr>
          <w:rFonts w:ascii="Verdana" w:hAnsi="Verdana"/>
          <w:b/>
          <w:bCs/>
          <w:sz w:val="20"/>
          <w:szCs w:val="20"/>
        </w:rPr>
      </w:pPr>
    </w:p>
    <w:p w14:paraId="2E6AF211" w14:textId="77777777" w:rsidR="000576E8" w:rsidRDefault="000576E8" w:rsidP="006D12D5">
      <w:pPr>
        <w:rPr>
          <w:rFonts w:ascii="Verdana" w:hAnsi="Verdana"/>
          <w:b/>
          <w:bCs/>
          <w:sz w:val="20"/>
          <w:szCs w:val="20"/>
        </w:rPr>
      </w:pPr>
    </w:p>
    <w:p w14:paraId="28EACEFD" w14:textId="77777777" w:rsidR="000576E8" w:rsidRDefault="000576E8" w:rsidP="006D12D5">
      <w:pPr>
        <w:rPr>
          <w:rFonts w:ascii="Verdana" w:hAnsi="Verdana"/>
          <w:b/>
          <w:bCs/>
          <w:sz w:val="20"/>
          <w:szCs w:val="20"/>
        </w:rPr>
      </w:pPr>
    </w:p>
    <w:p w14:paraId="2C9D4A5F" w14:textId="77777777" w:rsidR="000576E8" w:rsidRDefault="000576E8" w:rsidP="006D12D5">
      <w:pPr>
        <w:rPr>
          <w:rFonts w:ascii="Verdana" w:hAnsi="Verdana"/>
          <w:b/>
          <w:bCs/>
          <w:sz w:val="20"/>
          <w:szCs w:val="20"/>
        </w:rPr>
      </w:pPr>
    </w:p>
    <w:p w14:paraId="007D780E" w14:textId="7482C443" w:rsidR="000576E8" w:rsidRPr="006D12D5" w:rsidRDefault="0077092F" w:rsidP="002D6A66">
      <w:pPr>
        <w:jc w:val="center"/>
        <w:rPr>
          <w:rFonts w:ascii="Verdana" w:hAnsi="Verdana"/>
          <w:b/>
          <w:bCs/>
          <w:sz w:val="20"/>
          <w:szCs w:val="20"/>
        </w:rPr>
      </w:pPr>
      <w:r>
        <w:rPr>
          <w:rFonts w:ascii="Verdana" w:hAnsi="Verdana"/>
          <w:b/>
          <w:bCs/>
          <w:sz w:val="20"/>
          <w:szCs w:val="20"/>
        </w:rPr>
        <w:t>Avgust</w:t>
      </w:r>
      <w:r w:rsidR="00B10E65">
        <w:rPr>
          <w:rFonts w:ascii="Verdana" w:hAnsi="Verdana"/>
          <w:b/>
          <w:bCs/>
          <w:sz w:val="20"/>
          <w:szCs w:val="20"/>
        </w:rPr>
        <w:t>, 2025</w:t>
      </w:r>
      <w:r w:rsidR="000576E8">
        <w:rPr>
          <w:rFonts w:ascii="Verdana" w:hAnsi="Verdana"/>
          <w:b/>
          <w:bCs/>
          <w:sz w:val="20"/>
          <w:szCs w:val="20"/>
        </w:rPr>
        <w:t>. godine</w:t>
      </w:r>
    </w:p>
    <w:tbl>
      <w:tblPr>
        <w:tblStyle w:val="TableGrid"/>
        <w:tblW w:w="10774" w:type="dxa"/>
        <w:tblInd w:w="-601" w:type="dxa"/>
        <w:tblLook w:val="04A0" w:firstRow="1" w:lastRow="0" w:firstColumn="1" w:lastColumn="0" w:noHBand="0" w:noVBand="1"/>
      </w:tblPr>
      <w:tblGrid>
        <w:gridCol w:w="5389"/>
        <w:gridCol w:w="5385"/>
      </w:tblGrid>
      <w:tr w:rsidR="007E59D7" w14:paraId="45D798AC" w14:textId="77777777" w:rsidTr="007E59D7">
        <w:trPr>
          <w:trHeight w:val="14390"/>
        </w:trPr>
        <w:tc>
          <w:tcPr>
            <w:tcW w:w="5389" w:type="dxa"/>
            <w:tcBorders>
              <w:top w:val="single" w:sz="4" w:space="0" w:color="auto"/>
              <w:left w:val="single" w:sz="4" w:space="0" w:color="auto"/>
              <w:bottom w:val="single" w:sz="4" w:space="0" w:color="auto"/>
              <w:right w:val="single" w:sz="4" w:space="0" w:color="auto"/>
            </w:tcBorders>
          </w:tcPr>
          <w:p w14:paraId="43CAD36F" w14:textId="77777777" w:rsidR="007E59D7" w:rsidRPr="003C0940" w:rsidRDefault="007E59D7">
            <w:pPr>
              <w:keepNext/>
              <w:snapToGrid w:val="0"/>
              <w:jc w:val="both"/>
              <w:rPr>
                <w:rFonts w:ascii="Verdana" w:eastAsia="Times New Roman" w:hAnsi="Verdana" w:cs="Arial"/>
                <w:sz w:val="20"/>
                <w:szCs w:val="20"/>
                <w:lang w:eastAsia="de-DE"/>
              </w:rPr>
            </w:pPr>
          </w:p>
          <w:p w14:paraId="571E1AC5" w14:textId="0A6FDF47" w:rsidR="007E59D7" w:rsidRPr="003C0940" w:rsidRDefault="000576E8">
            <w:pPr>
              <w:keepNext/>
              <w:snapToGrid w:val="0"/>
              <w:jc w:val="both"/>
              <w:rPr>
                <w:rFonts w:ascii="Verdana" w:eastAsia="Times New Roman" w:hAnsi="Verdana" w:cs="Arial"/>
                <w:sz w:val="20"/>
                <w:szCs w:val="20"/>
                <w:lang w:eastAsia="de-DE"/>
              </w:rPr>
            </w:pPr>
            <w:r w:rsidRPr="003C0940">
              <w:rPr>
                <w:rFonts w:ascii="Verdana" w:eastAsia="Times New Roman" w:hAnsi="Verdana" w:cs="Arial"/>
                <w:sz w:val="20"/>
                <w:szCs w:val="20"/>
                <w:lang w:eastAsia="de-DE"/>
              </w:rPr>
              <w:t xml:space="preserve">Ovaj Aneks </w:t>
            </w:r>
            <w:r w:rsidR="00B10E65" w:rsidRPr="003C0940">
              <w:rPr>
                <w:rFonts w:ascii="Verdana" w:eastAsia="Times New Roman" w:hAnsi="Verdana" w:cs="Arial"/>
                <w:sz w:val="20"/>
                <w:szCs w:val="20"/>
                <w:lang w:eastAsia="de-DE"/>
              </w:rPr>
              <w:t>3</w:t>
            </w:r>
            <w:r w:rsidR="006A1ECB" w:rsidRPr="003C0940">
              <w:rPr>
                <w:rFonts w:ascii="Verdana" w:eastAsia="Times New Roman" w:hAnsi="Verdana" w:cs="Arial"/>
                <w:sz w:val="20"/>
                <w:szCs w:val="20"/>
                <w:lang w:eastAsia="de-DE"/>
              </w:rPr>
              <w:t xml:space="preserve"> </w:t>
            </w:r>
            <w:r w:rsidRPr="003C0940">
              <w:rPr>
                <w:rFonts w:ascii="Verdana" w:eastAsia="Times New Roman" w:hAnsi="Verdana" w:cs="Arial"/>
                <w:sz w:val="20"/>
                <w:szCs w:val="20"/>
                <w:lang w:eastAsia="de-DE"/>
              </w:rPr>
              <w:t xml:space="preserve">Ugovora o sakupljanju otpada (u daljem tekstu označen kao: </w:t>
            </w:r>
            <w:r w:rsidR="00C85F28" w:rsidRPr="003C0940">
              <w:rPr>
                <w:rFonts w:ascii="Verdana" w:eastAsia="Times New Roman" w:hAnsi="Verdana" w:cs="Arial"/>
                <w:b/>
                <w:bCs/>
                <w:sz w:val="20"/>
                <w:szCs w:val="20"/>
                <w:lang w:eastAsia="de-DE"/>
              </w:rPr>
              <w:t>„Aneks 3“</w:t>
            </w:r>
            <w:r w:rsidR="00C85F28" w:rsidRPr="003C0940">
              <w:rPr>
                <w:rFonts w:ascii="Verdana" w:eastAsia="Times New Roman" w:hAnsi="Verdana" w:cs="Arial"/>
                <w:sz w:val="20"/>
                <w:szCs w:val="20"/>
                <w:lang w:eastAsia="de-DE"/>
              </w:rPr>
              <w:t xml:space="preserve"> ili </w:t>
            </w:r>
            <w:r w:rsidRPr="003C0940">
              <w:rPr>
                <w:rFonts w:ascii="Verdana" w:eastAsia="Times New Roman" w:hAnsi="Verdana" w:cs="Arial"/>
                <w:b/>
                <w:bCs/>
                <w:sz w:val="20"/>
                <w:szCs w:val="20"/>
                <w:lang w:eastAsia="de-DE"/>
              </w:rPr>
              <w:t xml:space="preserve">„Aneks </w:t>
            </w:r>
            <w:r w:rsidR="00B10E65" w:rsidRPr="003C0940">
              <w:rPr>
                <w:rFonts w:ascii="Verdana" w:eastAsia="Times New Roman" w:hAnsi="Verdana" w:cs="Arial"/>
                <w:b/>
                <w:bCs/>
                <w:sz w:val="20"/>
                <w:szCs w:val="20"/>
                <w:lang w:eastAsia="de-DE"/>
              </w:rPr>
              <w:t>3</w:t>
            </w:r>
            <w:r w:rsidR="006A1ECB" w:rsidRPr="003C0940">
              <w:rPr>
                <w:rFonts w:ascii="Verdana" w:eastAsia="Times New Roman" w:hAnsi="Verdana" w:cs="Arial"/>
                <w:b/>
                <w:bCs/>
                <w:sz w:val="20"/>
                <w:szCs w:val="20"/>
                <w:lang w:eastAsia="de-DE"/>
              </w:rPr>
              <w:t xml:space="preserve"> Ugovora</w:t>
            </w:r>
            <w:r w:rsidRPr="003C0940">
              <w:rPr>
                <w:rFonts w:ascii="Verdana" w:eastAsia="Times New Roman" w:hAnsi="Verdana" w:cs="Arial"/>
                <w:b/>
                <w:bCs/>
                <w:sz w:val="20"/>
                <w:szCs w:val="20"/>
                <w:lang w:eastAsia="de-DE"/>
              </w:rPr>
              <w:t>“</w:t>
            </w:r>
            <w:r w:rsidRPr="003C0940">
              <w:rPr>
                <w:rFonts w:ascii="Verdana" w:eastAsia="Times New Roman" w:hAnsi="Verdana" w:cs="Arial"/>
                <w:sz w:val="20"/>
                <w:szCs w:val="20"/>
                <w:lang w:eastAsia="de-DE"/>
              </w:rPr>
              <w:t>) z</w:t>
            </w:r>
            <w:r w:rsidR="007E59D7" w:rsidRPr="003C0940">
              <w:rPr>
                <w:rFonts w:ascii="Verdana" w:eastAsia="Times New Roman" w:hAnsi="Verdana" w:cs="Arial"/>
                <w:sz w:val="20"/>
                <w:szCs w:val="20"/>
                <w:lang w:eastAsia="de-DE"/>
              </w:rPr>
              <w:t xml:space="preserve">aključen </w:t>
            </w:r>
            <w:r w:rsidRPr="003C0940">
              <w:rPr>
                <w:rFonts w:ascii="Verdana" w:eastAsia="Times New Roman" w:hAnsi="Verdana" w:cs="Arial"/>
                <w:sz w:val="20"/>
                <w:szCs w:val="20"/>
                <w:lang w:eastAsia="de-DE"/>
              </w:rPr>
              <w:t xml:space="preserve">je </w:t>
            </w:r>
            <w:r w:rsidR="007E59D7" w:rsidRPr="003C0940">
              <w:rPr>
                <w:rFonts w:ascii="Verdana" w:eastAsia="Times New Roman" w:hAnsi="Verdana" w:cs="Arial"/>
                <w:sz w:val="20"/>
                <w:szCs w:val="20"/>
                <w:lang w:eastAsia="de-DE"/>
              </w:rPr>
              <w:t>dana</w:t>
            </w:r>
            <w:r w:rsidR="007E59D7" w:rsidRPr="003C0940">
              <w:rPr>
                <w:rFonts w:ascii="Verdana" w:eastAsia="Times New Roman" w:hAnsi="Verdana" w:cs="Arial"/>
                <w:b/>
                <w:sz w:val="20"/>
                <w:szCs w:val="20"/>
                <w:lang w:val="sr-Latn-CS" w:eastAsia="de-DE"/>
              </w:rPr>
              <w:t xml:space="preserve">  </w:t>
            </w:r>
            <w:r w:rsidR="0077092F" w:rsidRPr="003C0940">
              <w:rPr>
                <w:rFonts w:ascii="Verdana" w:eastAsia="Times New Roman" w:hAnsi="Verdana" w:cs="Arial"/>
                <w:b/>
                <w:sz w:val="20"/>
                <w:szCs w:val="20"/>
                <w:lang w:val="sr-Latn-CS" w:eastAsia="de-DE"/>
              </w:rPr>
              <w:t>01.08.2025</w:t>
            </w:r>
            <w:r w:rsidR="00B10E65" w:rsidRPr="003C0940">
              <w:rPr>
                <w:rFonts w:ascii="Verdana" w:eastAsia="Times New Roman" w:hAnsi="Verdana" w:cs="Arial"/>
                <w:b/>
                <w:sz w:val="20"/>
                <w:szCs w:val="20"/>
                <w:lang w:val="sr-Latn-CS" w:eastAsia="de-DE"/>
              </w:rPr>
              <w:t>.</w:t>
            </w:r>
            <w:r w:rsidR="00080B47" w:rsidRPr="003C0940">
              <w:rPr>
                <w:rFonts w:ascii="Verdana" w:eastAsia="Times New Roman" w:hAnsi="Verdana" w:cs="Arial"/>
                <w:b/>
                <w:sz w:val="20"/>
                <w:szCs w:val="20"/>
                <w:lang w:val="sr-Latn-CS" w:eastAsia="de-DE"/>
              </w:rPr>
              <w:t xml:space="preserve"> godine</w:t>
            </w:r>
            <w:r w:rsidR="007E59D7" w:rsidRPr="003C0940">
              <w:rPr>
                <w:rFonts w:ascii="Verdana" w:eastAsia="Times New Roman" w:hAnsi="Verdana" w:cs="Arial"/>
                <w:sz w:val="20"/>
                <w:szCs w:val="20"/>
                <w:lang w:eastAsia="de-DE"/>
              </w:rPr>
              <w:t xml:space="preserve"> između sledećih</w:t>
            </w:r>
            <w:r w:rsidRPr="003C0940">
              <w:rPr>
                <w:rFonts w:ascii="Verdana" w:eastAsia="Times New Roman" w:hAnsi="Verdana" w:cs="Arial"/>
                <w:sz w:val="20"/>
                <w:szCs w:val="20"/>
                <w:lang w:eastAsia="de-DE"/>
              </w:rPr>
              <w:t xml:space="preserve"> </w:t>
            </w:r>
            <w:r w:rsidR="007E59D7" w:rsidRPr="003C0940">
              <w:rPr>
                <w:rFonts w:ascii="Verdana" w:eastAsia="Times New Roman" w:hAnsi="Verdana" w:cs="Arial"/>
                <w:sz w:val="20"/>
                <w:szCs w:val="20"/>
                <w:lang w:eastAsia="de-DE"/>
              </w:rPr>
              <w:t>ugovornih strana:</w:t>
            </w:r>
          </w:p>
          <w:p w14:paraId="38F5E26A" w14:textId="77777777" w:rsidR="007E59D7" w:rsidRPr="003C0940" w:rsidRDefault="007E59D7">
            <w:pPr>
              <w:keepNext/>
              <w:snapToGrid w:val="0"/>
              <w:jc w:val="both"/>
              <w:rPr>
                <w:rFonts w:ascii="Verdana" w:eastAsia="Times New Roman" w:hAnsi="Verdana" w:cs="Arial"/>
                <w:sz w:val="20"/>
                <w:szCs w:val="20"/>
                <w:lang w:eastAsia="de-DE"/>
              </w:rPr>
            </w:pPr>
          </w:p>
          <w:p w14:paraId="4BFBD719" w14:textId="367AF25D" w:rsidR="007E59D7" w:rsidRPr="003C0940" w:rsidRDefault="007E59D7">
            <w:pPr>
              <w:keepNext/>
              <w:snapToGrid w:val="0"/>
              <w:jc w:val="both"/>
              <w:rPr>
                <w:rFonts w:ascii="Verdana" w:eastAsia="Times New Roman" w:hAnsi="Verdana" w:cs="Arial"/>
                <w:sz w:val="20"/>
                <w:szCs w:val="20"/>
                <w:lang w:eastAsia="de-DE"/>
              </w:rPr>
            </w:pPr>
            <w:r w:rsidRPr="003C0940">
              <w:rPr>
                <w:rFonts w:ascii="Verdana" w:eastAsia="Times New Roman" w:hAnsi="Verdana" w:cs="Arial"/>
                <w:b/>
                <w:bCs/>
                <w:sz w:val="20"/>
                <w:szCs w:val="20"/>
                <w:lang w:eastAsia="de-DE"/>
              </w:rPr>
              <w:t xml:space="preserve">OPŠTINA </w:t>
            </w:r>
            <w:r w:rsidR="00080B47" w:rsidRPr="003C0940">
              <w:rPr>
                <w:rFonts w:ascii="Verdana" w:eastAsia="Times New Roman" w:hAnsi="Verdana" w:cs="Arial"/>
                <w:b/>
                <w:bCs/>
                <w:sz w:val="20"/>
                <w:szCs w:val="20"/>
                <w:lang w:eastAsia="de-DE"/>
              </w:rPr>
              <w:t>LAPOVO</w:t>
            </w:r>
            <w:r w:rsidRPr="003C0940">
              <w:rPr>
                <w:rFonts w:ascii="Verdana" w:eastAsia="Times New Roman" w:hAnsi="Verdana" w:cs="Arial"/>
                <w:sz w:val="20"/>
                <w:szCs w:val="20"/>
                <w:lang w:eastAsia="de-DE"/>
              </w:rPr>
              <w:t xml:space="preserve"> , sa registrovanim sedištem na adresi </w:t>
            </w:r>
            <w:r w:rsidR="00080B47" w:rsidRPr="003C0940">
              <w:rPr>
                <w:rFonts w:ascii="Verdana" w:eastAsia="Times New Roman" w:hAnsi="Verdana" w:cs="Arial"/>
                <w:sz w:val="20"/>
                <w:szCs w:val="20"/>
                <w:lang w:eastAsia="de-DE"/>
              </w:rPr>
              <w:t>Njegoševa 18</w:t>
            </w:r>
            <w:r w:rsidRPr="003C0940">
              <w:rPr>
                <w:rFonts w:ascii="Verdana" w:eastAsia="Times New Roman" w:hAnsi="Verdana" w:cs="Arial"/>
                <w:sz w:val="20"/>
                <w:szCs w:val="20"/>
                <w:lang w:eastAsia="de-DE"/>
              </w:rPr>
              <w:t>, 342</w:t>
            </w:r>
            <w:r w:rsidR="00080B47" w:rsidRPr="003C0940">
              <w:rPr>
                <w:rFonts w:ascii="Verdana" w:eastAsia="Times New Roman" w:hAnsi="Verdana" w:cs="Arial"/>
                <w:sz w:val="20"/>
                <w:szCs w:val="20"/>
                <w:lang w:eastAsia="de-DE"/>
              </w:rPr>
              <w:t>20</w:t>
            </w:r>
            <w:r w:rsidRPr="003C0940">
              <w:rPr>
                <w:rFonts w:ascii="Verdana" w:eastAsia="Times New Roman" w:hAnsi="Verdana" w:cs="Arial"/>
                <w:sz w:val="20"/>
                <w:szCs w:val="20"/>
                <w:lang w:eastAsia="de-DE"/>
              </w:rPr>
              <w:t xml:space="preserve"> </w:t>
            </w:r>
            <w:r w:rsidR="00080B47" w:rsidRPr="003C0940">
              <w:rPr>
                <w:rFonts w:ascii="Verdana" w:eastAsia="Times New Roman" w:hAnsi="Verdana" w:cs="Arial"/>
                <w:sz w:val="20"/>
                <w:szCs w:val="20"/>
                <w:lang w:eastAsia="de-DE"/>
              </w:rPr>
              <w:t>Lapovo</w:t>
            </w:r>
            <w:r w:rsidRPr="003C0940">
              <w:rPr>
                <w:rFonts w:ascii="Verdana" w:eastAsia="Times New Roman" w:hAnsi="Verdana" w:cs="Arial"/>
                <w:sz w:val="20"/>
                <w:szCs w:val="20"/>
                <w:lang w:eastAsia="de-DE"/>
              </w:rPr>
              <w:t xml:space="preserve">, Republika Srbija, koju predstavlja Predsednik opštine </w:t>
            </w:r>
            <w:r w:rsidR="00080B47" w:rsidRPr="003C0940">
              <w:rPr>
                <w:rFonts w:ascii="Verdana" w:eastAsia="Times New Roman" w:hAnsi="Verdana" w:cs="Arial"/>
                <w:sz w:val="20"/>
                <w:szCs w:val="20"/>
                <w:lang w:eastAsia="de-DE"/>
              </w:rPr>
              <w:t>Boban Miličić</w:t>
            </w:r>
            <w:r w:rsidRPr="003C0940">
              <w:rPr>
                <w:rFonts w:ascii="Verdana" w:eastAsia="Times New Roman" w:hAnsi="Verdana" w:cs="Arial"/>
                <w:sz w:val="20"/>
                <w:szCs w:val="20"/>
                <w:lang w:eastAsia="de-DE"/>
              </w:rPr>
              <w:t xml:space="preserve">, (u daljem tekstu: </w:t>
            </w:r>
            <w:r w:rsidR="00B10E65" w:rsidRPr="003C0940">
              <w:rPr>
                <w:rFonts w:ascii="Verdana" w:eastAsia="Times New Roman" w:hAnsi="Verdana" w:cs="Arial"/>
                <w:b/>
                <w:bCs/>
                <w:sz w:val="20"/>
                <w:szCs w:val="20"/>
                <w:lang w:eastAsia="de-DE"/>
              </w:rPr>
              <w:t>„</w:t>
            </w:r>
            <w:r w:rsidR="00F9645B" w:rsidRPr="003C0940">
              <w:rPr>
                <w:rFonts w:ascii="Verdana" w:eastAsia="Times New Roman" w:hAnsi="Verdana" w:cs="Arial"/>
                <w:b/>
                <w:bCs/>
                <w:sz w:val="20"/>
                <w:szCs w:val="20"/>
                <w:lang w:eastAsia="de-DE"/>
              </w:rPr>
              <w:t>Opština Lapovo</w:t>
            </w:r>
            <w:r w:rsidR="00B10E65" w:rsidRPr="003C0940">
              <w:rPr>
                <w:rFonts w:ascii="Verdana" w:eastAsia="Times New Roman" w:hAnsi="Verdana" w:cs="Arial"/>
                <w:b/>
                <w:bCs/>
                <w:sz w:val="20"/>
                <w:szCs w:val="20"/>
                <w:lang w:eastAsia="de-DE"/>
              </w:rPr>
              <w:t>“</w:t>
            </w:r>
            <w:r w:rsidR="00F9645B" w:rsidRPr="003C0940">
              <w:rPr>
                <w:rFonts w:ascii="Verdana" w:eastAsia="Times New Roman" w:hAnsi="Verdana" w:cs="Arial"/>
                <w:b/>
                <w:bCs/>
                <w:sz w:val="20"/>
                <w:szCs w:val="20"/>
                <w:lang w:eastAsia="de-DE"/>
              </w:rPr>
              <w:t xml:space="preserve"> ili </w:t>
            </w:r>
            <w:r w:rsidR="00B10E65" w:rsidRPr="003C0940">
              <w:rPr>
                <w:rFonts w:ascii="Verdana" w:eastAsia="Times New Roman" w:hAnsi="Verdana" w:cs="Arial"/>
                <w:b/>
                <w:bCs/>
                <w:sz w:val="20"/>
                <w:szCs w:val="20"/>
                <w:lang w:eastAsia="de-DE"/>
              </w:rPr>
              <w:t>„</w:t>
            </w:r>
            <w:r w:rsidRPr="003C0940">
              <w:rPr>
                <w:rFonts w:ascii="Verdana" w:eastAsia="Times New Roman" w:hAnsi="Verdana" w:cs="Arial"/>
                <w:b/>
                <w:bCs/>
                <w:sz w:val="20"/>
                <w:szCs w:val="20"/>
                <w:lang w:eastAsia="de-DE"/>
              </w:rPr>
              <w:t>Klijent</w:t>
            </w:r>
            <w:r w:rsidR="00B10E65" w:rsidRPr="003C0940">
              <w:rPr>
                <w:rFonts w:ascii="Verdana" w:eastAsia="Times New Roman" w:hAnsi="Verdana" w:cs="Arial"/>
                <w:b/>
                <w:bCs/>
                <w:sz w:val="20"/>
                <w:szCs w:val="20"/>
                <w:lang w:eastAsia="de-DE"/>
              </w:rPr>
              <w:t>“</w:t>
            </w:r>
            <w:r w:rsidRPr="003C0940">
              <w:rPr>
                <w:rFonts w:ascii="Verdana" w:eastAsia="Times New Roman" w:hAnsi="Verdana" w:cs="Arial"/>
                <w:sz w:val="20"/>
                <w:szCs w:val="20"/>
                <w:lang w:eastAsia="de-DE"/>
              </w:rPr>
              <w:t>)</w:t>
            </w:r>
          </w:p>
          <w:p w14:paraId="1777A4B7" w14:textId="77777777" w:rsidR="007E59D7" w:rsidRPr="003C0940" w:rsidRDefault="007E59D7">
            <w:pPr>
              <w:keepNext/>
              <w:snapToGrid w:val="0"/>
              <w:jc w:val="both"/>
              <w:rPr>
                <w:rFonts w:ascii="Verdana" w:eastAsia="Times New Roman" w:hAnsi="Verdana" w:cs="Arial"/>
                <w:sz w:val="20"/>
                <w:szCs w:val="20"/>
                <w:lang w:eastAsia="de-DE"/>
              </w:rPr>
            </w:pPr>
          </w:p>
          <w:p w14:paraId="63F6B0A8" w14:textId="77777777" w:rsidR="007E59D7" w:rsidRPr="003C0940" w:rsidRDefault="007E59D7">
            <w:pPr>
              <w:keepNext/>
              <w:snapToGrid w:val="0"/>
              <w:jc w:val="both"/>
              <w:rPr>
                <w:rFonts w:ascii="Verdana" w:eastAsia="Times New Roman" w:hAnsi="Verdana" w:cs="Arial"/>
                <w:sz w:val="20"/>
                <w:szCs w:val="20"/>
                <w:lang w:eastAsia="de-DE"/>
              </w:rPr>
            </w:pPr>
            <w:r w:rsidRPr="003C0940">
              <w:rPr>
                <w:rFonts w:ascii="Verdana" w:eastAsia="Times New Roman" w:hAnsi="Verdana" w:cs="Arial"/>
                <w:sz w:val="20"/>
                <w:szCs w:val="20"/>
                <w:lang w:eastAsia="de-DE"/>
              </w:rPr>
              <w:t>i</w:t>
            </w:r>
          </w:p>
          <w:p w14:paraId="09E4155F" w14:textId="77777777" w:rsidR="007E59D7" w:rsidRPr="003C0940" w:rsidRDefault="007E59D7">
            <w:pPr>
              <w:keepNext/>
              <w:snapToGrid w:val="0"/>
              <w:jc w:val="both"/>
              <w:rPr>
                <w:rFonts w:ascii="Verdana" w:eastAsia="Times New Roman" w:hAnsi="Verdana" w:cs="Arial"/>
                <w:sz w:val="20"/>
                <w:szCs w:val="20"/>
                <w:lang w:eastAsia="de-DE"/>
              </w:rPr>
            </w:pPr>
          </w:p>
          <w:p w14:paraId="0E14860D" w14:textId="06D6DA34" w:rsidR="007E59D7" w:rsidRPr="003C0940" w:rsidRDefault="007E59D7">
            <w:pPr>
              <w:jc w:val="both"/>
              <w:rPr>
                <w:rFonts w:ascii="Verdana" w:hAnsi="Verdana" w:cs="Arial"/>
                <w:b/>
                <w:sz w:val="20"/>
                <w:szCs w:val="20"/>
              </w:rPr>
            </w:pPr>
            <w:r w:rsidRPr="003C0940">
              <w:rPr>
                <w:rFonts w:ascii="Verdana" w:hAnsi="Verdana" w:cs="Arial"/>
                <w:b/>
                <w:sz w:val="20"/>
                <w:szCs w:val="20"/>
              </w:rPr>
              <w:t>FCC</w:t>
            </w:r>
            <w:r w:rsidR="000A1C44" w:rsidRPr="003C0940">
              <w:rPr>
                <w:rFonts w:ascii="Verdana" w:hAnsi="Verdana" w:cs="Arial"/>
                <w:b/>
                <w:sz w:val="20"/>
                <w:szCs w:val="20"/>
              </w:rPr>
              <w:t xml:space="preserve"> VRBAK</w:t>
            </w:r>
            <w:r w:rsidRPr="003C0940">
              <w:rPr>
                <w:rFonts w:ascii="Verdana" w:hAnsi="Verdana" w:cs="Arial"/>
                <w:b/>
                <w:sz w:val="20"/>
                <w:szCs w:val="20"/>
              </w:rPr>
              <w:t xml:space="preserve"> DOO </w:t>
            </w:r>
            <w:r w:rsidR="000A1C44" w:rsidRPr="003C0940">
              <w:rPr>
                <w:rFonts w:ascii="Verdana" w:hAnsi="Verdana" w:cs="Arial"/>
                <w:b/>
                <w:sz w:val="20"/>
                <w:szCs w:val="20"/>
              </w:rPr>
              <w:t>LAPOVO</w:t>
            </w:r>
            <w:r w:rsidRPr="003C0940">
              <w:rPr>
                <w:rFonts w:ascii="Verdana" w:hAnsi="Verdana" w:cs="Arial"/>
                <w:b/>
                <w:sz w:val="20"/>
                <w:szCs w:val="20"/>
              </w:rPr>
              <w:t xml:space="preserve">, </w:t>
            </w:r>
            <w:r w:rsidRPr="003C0940">
              <w:rPr>
                <w:rFonts w:ascii="Verdana" w:hAnsi="Verdana" w:cs="Arial"/>
                <w:bCs/>
                <w:sz w:val="20"/>
                <w:szCs w:val="20"/>
              </w:rPr>
              <w:t>sa registrovanim sedištem na adresi</w:t>
            </w:r>
            <w:r w:rsidRPr="003C0940">
              <w:rPr>
                <w:rFonts w:ascii="Verdana" w:hAnsi="Verdana" w:cs="Arial"/>
                <w:sz w:val="20"/>
                <w:szCs w:val="20"/>
              </w:rPr>
              <w:t xml:space="preserve"> </w:t>
            </w:r>
            <w:r w:rsidR="00B10E65" w:rsidRPr="003C0940">
              <w:rPr>
                <w:rFonts w:ascii="Verdana" w:hAnsi="Verdana" w:cs="Arial"/>
                <w:sz w:val="20"/>
                <w:szCs w:val="20"/>
              </w:rPr>
              <w:t>Kraljice Marije</w:t>
            </w:r>
            <w:r w:rsidR="000A1C44" w:rsidRPr="003C0940">
              <w:rPr>
                <w:rFonts w:ascii="Verdana" w:hAnsi="Verdana" w:cs="Arial"/>
                <w:sz w:val="20"/>
                <w:szCs w:val="20"/>
              </w:rPr>
              <w:t xml:space="preserve"> bb</w:t>
            </w:r>
            <w:r w:rsidRPr="003C0940">
              <w:rPr>
                <w:rFonts w:ascii="Verdana" w:hAnsi="Verdana" w:cs="Arial"/>
                <w:sz w:val="20"/>
                <w:szCs w:val="20"/>
              </w:rPr>
              <w:t xml:space="preserve">, </w:t>
            </w:r>
            <w:r w:rsidR="000A1C44" w:rsidRPr="003C0940">
              <w:rPr>
                <w:rFonts w:ascii="Verdana" w:hAnsi="Verdana" w:cs="Arial"/>
                <w:sz w:val="20"/>
                <w:szCs w:val="20"/>
              </w:rPr>
              <w:t>34220 Lapovo</w:t>
            </w:r>
            <w:r w:rsidRPr="003C0940">
              <w:rPr>
                <w:rFonts w:ascii="Verdana" w:hAnsi="Verdana" w:cs="Arial"/>
                <w:sz w:val="20"/>
                <w:szCs w:val="20"/>
              </w:rPr>
              <w:t xml:space="preserve">, matični broj: </w:t>
            </w:r>
            <w:r w:rsidR="000A1C44" w:rsidRPr="003C0940">
              <w:rPr>
                <w:rFonts w:ascii="Verdana" w:eastAsiaTheme="minorHAnsi" w:hAnsi="Verdana" w:cs="Verdana,Bold"/>
                <w:sz w:val="20"/>
                <w:szCs w:val="20"/>
              </w:rPr>
              <w:t>20338369</w:t>
            </w:r>
            <w:r w:rsidRPr="003C0940">
              <w:rPr>
                <w:rFonts w:ascii="Verdana" w:hAnsi="Verdana" w:cs="Arial"/>
                <w:sz w:val="20"/>
                <w:szCs w:val="20"/>
              </w:rPr>
              <w:t xml:space="preserve">; PIB: </w:t>
            </w:r>
            <w:r w:rsidRPr="003C0940">
              <w:rPr>
                <w:rFonts w:ascii="Verdana" w:hAnsi="Verdana" w:cs="Arial"/>
                <w:bCs/>
                <w:sz w:val="20"/>
                <w:szCs w:val="20"/>
                <w:lang w:val="sr-Latn-CS"/>
              </w:rPr>
              <w:t>10</w:t>
            </w:r>
            <w:r w:rsidR="000A1C44" w:rsidRPr="003C0940">
              <w:rPr>
                <w:rFonts w:ascii="Verdana" w:hAnsi="Verdana" w:cs="Arial"/>
                <w:bCs/>
                <w:sz w:val="20"/>
                <w:szCs w:val="20"/>
                <w:lang w:val="sr-Latn-CS"/>
              </w:rPr>
              <w:t>5259855</w:t>
            </w:r>
            <w:r w:rsidRPr="003C0940">
              <w:rPr>
                <w:rFonts w:ascii="Verdana" w:hAnsi="Verdana" w:cs="Arial"/>
                <w:sz w:val="20"/>
                <w:szCs w:val="20"/>
              </w:rPr>
              <w:t xml:space="preserve">, koga zastupa Amir Mujezinović, direktor, i Anđelka Marković Milin, ostali zastupnik, (u daljem tekstu: </w:t>
            </w:r>
            <w:r w:rsidR="00B10E65" w:rsidRPr="003C0940">
              <w:rPr>
                <w:rFonts w:ascii="Verdana" w:hAnsi="Verdana" w:cs="Arial"/>
                <w:b/>
                <w:bCs/>
                <w:sz w:val="20"/>
                <w:szCs w:val="20"/>
              </w:rPr>
              <w:t>„</w:t>
            </w:r>
            <w:r w:rsidR="00F9645B" w:rsidRPr="003C0940">
              <w:rPr>
                <w:rFonts w:ascii="Verdana" w:hAnsi="Verdana" w:cs="Arial"/>
                <w:b/>
                <w:bCs/>
                <w:sz w:val="20"/>
                <w:szCs w:val="20"/>
              </w:rPr>
              <w:t>FCC Vrbak</w:t>
            </w:r>
            <w:r w:rsidR="00B10E65" w:rsidRPr="003C0940">
              <w:rPr>
                <w:rFonts w:ascii="Verdana" w:hAnsi="Verdana" w:cs="Arial"/>
                <w:b/>
                <w:bCs/>
                <w:sz w:val="20"/>
                <w:szCs w:val="20"/>
              </w:rPr>
              <w:t>“</w:t>
            </w:r>
            <w:r w:rsidR="00F9645B" w:rsidRPr="003C0940">
              <w:rPr>
                <w:rFonts w:ascii="Verdana" w:hAnsi="Verdana" w:cs="Arial"/>
                <w:b/>
                <w:bCs/>
                <w:sz w:val="20"/>
                <w:szCs w:val="20"/>
              </w:rPr>
              <w:t xml:space="preserve"> ili </w:t>
            </w:r>
            <w:r w:rsidR="00B10E65" w:rsidRPr="003C0940">
              <w:rPr>
                <w:rFonts w:ascii="Verdana" w:hAnsi="Verdana" w:cs="Arial"/>
                <w:b/>
                <w:bCs/>
                <w:sz w:val="20"/>
                <w:szCs w:val="20"/>
              </w:rPr>
              <w:t>„</w:t>
            </w:r>
            <w:r w:rsidRPr="003C0940">
              <w:rPr>
                <w:rFonts w:ascii="Verdana" w:hAnsi="Verdana" w:cs="Arial"/>
                <w:b/>
                <w:bCs/>
                <w:sz w:val="20"/>
                <w:szCs w:val="20"/>
              </w:rPr>
              <w:t>Operat</w:t>
            </w:r>
            <w:r w:rsidR="00020FBB" w:rsidRPr="003C0940">
              <w:rPr>
                <w:rFonts w:ascii="Verdana" w:hAnsi="Verdana" w:cs="Arial"/>
                <w:b/>
                <w:bCs/>
                <w:sz w:val="20"/>
                <w:szCs w:val="20"/>
              </w:rPr>
              <w:t>e</w:t>
            </w:r>
            <w:r w:rsidRPr="003C0940">
              <w:rPr>
                <w:rFonts w:ascii="Verdana" w:hAnsi="Verdana" w:cs="Arial"/>
                <w:b/>
                <w:bCs/>
                <w:sz w:val="20"/>
                <w:szCs w:val="20"/>
              </w:rPr>
              <w:t>r</w:t>
            </w:r>
            <w:r w:rsidR="00B10E65" w:rsidRPr="003C0940">
              <w:rPr>
                <w:rFonts w:ascii="Verdana" w:hAnsi="Verdana" w:cs="Arial"/>
                <w:b/>
                <w:bCs/>
                <w:sz w:val="20"/>
                <w:szCs w:val="20"/>
              </w:rPr>
              <w:t>“</w:t>
            </w:r>
            <w:r w:rsidRPr="003C0940">
              <w:rPr>
                <w:rFonts w:ascii="Verdana" w:hAnsi="Verdana" w:cs="Arial"/>
                <w:sz w:val="20"/>
                <w:szCs w:val="20"/>
              </w:rPr>
              <w:t>).</w:t>
            </w:r>
          </w:p>
          <w:p w14:paraId="44675E77" w14:textId="77777777" w:rsidR="007E59D7" w:rsidRPr="003C0940" w:rsidRDefault="007E59D7">
            <w:pPr>
              <w:jc w:val="both"/>
              <w:rPr>
                <w:rFonts w:ascii="Verdana" w:eastAsia="Times New Roman" w:hAnsi="Verdana" w:cs="Arial"/>
                <w:i/>
                <w:sz w:val="20"/>
                <w:szCs w:val="20"/>
                <w:lang w:eastAsia="de-DE"/>
              </w:rPr>
            </w:pPr>
          </w:p>
          <w:p w14:paraId="4C9FC87B" w14:textId="77777777" w:rsidR="007E59D7" w:rsidRPr="003C0940" w:rsidRDefault="007E59D7">
            <w:pPr>
              <w:jc w:val="both"/>
              <w:rPr>
                <w:rFonts w:ascii="Verdana" w:eastAsia="Times New Roman" w:hAnsi="Verdana" w:cs="Arial"/>
                <w:iCs/>
                <w:sz w:val="20"/>
                <w:szCs w:val="20"/>
                <w:lang w:eastAsia="de-DE"/>
              </w:rPr>
            </w:pPr>
          </w:p>
          <w:p w14:paraId="28DAFAF0" w14:textId="34A81196" w:rsidR="007E59D7" w:rsidRPr="003C0940" w:rsidRDefault="007E59D7">
            <w:pPr>
              <w:jc w:val="both"/>
              <w:rPr>
                <w:rFonts w:ascii="Verdana" w:eastAsia="Times New Roman" w:hAnsi="Verdana" w:cs="Arial"/>
                <w:b/>
                <w:iCs/>
                <w:sz w:val="20"/>
                <w:szCs w:val="20"/>
                <w:lang w:eastAsia="de-DE"/>
              </w:rPr>
            </w:pPr>
            <w:r w:rsidRPr="003C0940">
              <w:rPr>
                <w:rFonts w:ascii="Verdana" w:eastAsia="Times New Roman" w:hAnsi="Verdana" w:cs="Arial"/>
                <w:iCs/>
                <w:sz w:val="20"/>
                <w:szCs w:val="20"/>
                <w:lang w:eastAsia="de-DE"/>
              </w:rPr>
              <w:t>Klijent i Operater u daljem tekstu zajednički će se označavati kao „Ugovorne strane“, ili pojedinačno</w:t>
            </w:r>
            <w:r w:rsidR="00546752" w:rsidRPr="003C0940">
              <w:rPr>
                <w:rFonts w:ascii="Verdana" w:eastAsia="Times New Roman" w:hAnsi="Verdana" w:cs="Arial"/>
                <w:iCs/>
                <w:sz w:val="20"/>
                <w:szCs w:val="20"/>
                <w:lang w:eastAsia="de-DE"/>
              </w:rPr>
              <w:t xml:space="preserve"> kao</w:t>
            </w:r>
            <w:r w:rsidRPr="003C0940">
              <w:rPr>
                <w:rFonts w:ascii="Verdana" w:eastAsia="Times New Roman" w:hAnsi="Verdana" w:cs="Arial"/>
                <w:iCs/>
                <w:sz w:val="20"/>
                <w:szCs w:val="20"/>
                <w:lang w:eastAsia="de-DE"/>
              </w:rPr>
              <w:t xml:space="preserve"> „Ugovorna strana“.</w:t>
            </w:r>
          </w:p>
          <w:p w14:paraId="73D9A45F" w14:textId="77777777" w:rsidR="007E59D7" w:rsidRPr="003C0940" w:rsidRDefault="007E59D7">
            <w:pPr>
              <w:keepNext/>
              <w:snapToGrid w:val="0"/>
              <w:jc w:val="both"/>
              <w:rPr>
                <w:rFonts w:ascii="Verdana" w:eastAsia="Times New Roman" w:hAnsi="Verdana" w:cs="Arial"/>
                <w:b/>
                <w:sz w:val="20"/>
                <w:szCs w:val="20"/>
                <w:lang w:eastAsia="de-DE"/>
              </w:rPr>
            </w:pPr>
          </w:p>
          <w:p w14:paraId="7F83D2E2" w14:textId="77777777" w:rsidR="007E59D7" w:rsidRPr="003C0940" w:rsidRDefault="007E59D7">
            <w:pPr>
              <w:keepNext/>
              <w:snapToGrid w:val="0"/>
              <w:jc w:val="both"/>
              <w:rPr>
                <w:rFonts w:ascii="Verdana" w:eastAsia="Times New Roman" w:hAnsi="Verdana" w:cs="Arial"/>
                <w:b/>
                <w:sz w:val="20"/>
                <w:szCs w:val="20"/>
                <w:lang w:eastAsia="de-DE"/>
              </w:rPr>
            </w:pPr>
            <w:r w:rsidRPr="003C0940">
              <w:rPr>
                <w:rFonts w:ascii="Verdana" w:eastAsia="Times New Roman" w:hAnsi="Verdana" w:cs="Arial"/>
                <w:b/>
                <w:sz w:val="20"/>
                <w:szCs w:val="20"/>
                <w:lang w:eastAsia="de-DE"/>
              </w:rPr>
              <w:t>Preambula</w:t>
            </w:r>
          </w:p>
          <w:p w14:paraId="7F3E2A66" w14:textId="77777777" w:rsidR="007E59D7" w:rsidRPr="003C0940" w:rsidRDefault="007E59D7">
            <w:pPr>
              <w:keepNext/>
              <w:snapToGrid w:val="0"/>
              <w:jc w:val="both"/>
              <w:rPr>
                <w:rFonts w:ascii="Verdana" w:eastAsia="Times New Roman" w:hAnsi="Verdana" w:cs="Arial"/>
                <w:b/>
                <w:sz w:val="20"/>
                <w:szCs w:val="20"/>
                <w:lang w:eastAsia="de-DE"/>
              </w:rPr>
            </w:pPr>
          </w:p>
          <w:p w14:paraId="0EED8677" w14:textId="551D890C" w:rsidR="007E59D7" w:rsidRPr="003C0940" w:rsidRDefault="000576E8">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Dana 18.03.2008.</w:t>
            </w:r>
            <w:r w:rsidR="00F9645B" w:rsidRPr="003C0940">
              <w:rPr>
                <w:rFonts w:ascii="Verdana" w:eastAsia="Times New Roman" w:hAnsi="Verdana" w:cs="Arial"/>
                <w:bCs/>
                <w:sz w:val="20"/>
                <w:szCs w:val="20"/>
                <w:lang w:eastAsia="de-DE"/>
              </w:rPr>
              <w:t xml:space="preserve"> godine Opština Lapovo i FCC Vrbak  (tada .A.S.A. Vrbak) zaključili su Ugovor o sa</w:t>
            </w:r>
            <w:r w:rsidR="00744171" w:rsidRPr="003C0940">
              <w:rPr>
                <w:rFonts w:ascii="Verdana" w:eastAsia="Times New Roman" w:hAnsi="Verdana" w:cs="Arial"/>
                <w:bCs/>
                <w:sz w:val="20"/>
                <w:szCs w:val="20"/>
                <w:lang w:eastAsia="de-DE"/>
              </w:rPr>
              <w:t>k</w:t>
            </w:r>
            <w:r w:rsidR="00F9645B" w:rsidRPr="003C0940">
              <w:rPr>
                <w:rFonts w:ascii="Verdana" w:eastAsia="Times New Roman" w:hAnsi="Verdana" w:cs="Arial"/>
                <w:bCs/>
                <w:sz w:val="20"/>
                <w:szCs w:val="20"/>
                <w:lang w:eastAsia="de-DE"/>
              </w:rPr>
              <w:t xml:space="preserve">upljanju otpada, koji je kod Opštine Lapovo zaveden pod brojem 352-1/08-II, a kod </w:t>
            </w:r>
            <w:r w:rsidR="0056605F" w:rsidRPr="003C0940">
              <w:rPr>
                <w:rFonts w:ascii="Verdana" w:eastAsia="Times New Roman" w:hAnsi="Verdana" w:cs="Arial"/>
                <w:bCs/>
                <w:sz w:val="20"/>
                <w:szCs w:val="20"/>
                <w:lang w:eastAsia="de-DE"/>
              </w:rPr>
              <w:t xml:space="preserve">FCC Vrbak ( tada </w:t>
            </w:r>
            <w:r w:rsidR="00845795" w:rsidRPr="003C0940">
              <w:rPr>
                <w:rFonts w:ascii="Verdana" w:eastAsia="Times New Roman" w:hAnsi="Verdana" w:cs="Arial"/>
                <w:bCs/>
                <w:sz w:val="20"/>
                <w:szCs w:val="20"/>
                <w:lang w:eastAsia="de-DE"/>
              </w:rPr>
              <w:t>.</w:t>
            </w:r>
            <w:r w:rsidR="00F9645B" w:rsidRPr="003C0940">
              <w:rPr>
                <w:rFonts w:ascii="Verdana" w:eastAsia="Times New Roman" w:hAnsi="Verdana" w:cs="Arial"/>
                <w:bCs/>
                <w:sz w:val="20"/>
                <w:szCs w:val="20"/>
                <w:lang w:eastAsia="de-DE"/>
              </w:rPr>
              <w:t>A.S.A. Vrbak</w:t>
            </w:r>
            <w:r w:rsidR="0056605F" w:rsidRPr="003C0940">
              <w:rPr>
                <w:rFonts w:ascii="Verdana" w:eastAsia="Times New Roman" w:hAnsi="Verdana" w:cs="Arial"/>
                <w:bCs/>
                <w:sz w:val="20"/>
                <w:szCs w:val="20"/>
                <w:lang w:eastAsia="de-DE"/>
              </w:rPr>
              <w:t>)</w:t>
            </w:r>
            <w:r w:rsidR="00F9645B" w:rsidRPr="003C0940">
              <w:rPr>
                <w:rFonts w:ascii="Verdana" w:eastAsia="Times New Roman" w:hAnsi="Verdana" w:cs="Arial"/>
                <w:bCs/>
                <w:sz w:val="20"/>
                <w:szCs w:val="20"/>
                <w:lang w:eastAsia="de-DE"/>
              </w:rPr>
              <w:t xml:space="preserve"> pod brojem 059/08 (u daljem tekstu označeno kao: </w:t>
            </w:r>
            <w:r w:rsidR="00F9645B" w:rsidRPr="003C0940">
              <w:rPr>
                <w:rFonts w:ascii="Verdana" w:eastAsia="Times New Roman" w:hAnsi="Verdana" w:cs="Arial"/>
                <w:b/>
                <w:sz w:val="20"/>
                <w:szCs w:val="20"/>
                <w:lang w:eastAsia="de-DE"/>
              </w:rPr>
              <w:t>„Ugovor“</w:t>
            </w:r>
            <w:r w:rsidR="00F9645B" w:rsidRPr="003C0940">
              <w:rPr>
                <w:rFonts w:ascii="Verdana" w:eastAsia="Times New Roman" w:hAnsi="Verdana" w:cs="Arial"/>
                <w:bCs/>
                <w:sz w:val="20"/>
                <w:szCs w:val="20"/>
                <w:lang w:eastAsia="de-DE"/>
              </w:rPr>
              <w:t>).</w:t>
            </w:r>
          </w:p>
          <w:p w14:paraId="37EE4C1F" w14:textId="77777777" w:rsidR="00F9645B" w:rsidRPr="003C0940" w:rsidRDefault="00F9645B">
            <w:pPr>
              <w:keepNext/>
              <w:snapToGrid w:val="0"/>
              <w:jc w:val="both"/>
              <w:rPr>
                <w:rFonts w:ascii="Verdana" w:eastAsia="Times New Roman" w:hAnsi="Verdana" w:cs="Arial"/>
                <w:bCs/>
                <w:sz w:val="20"/>
                <w:szCs w:val="20"/>
                <w:lang w:eastAsia="de-DE"/>
              </w:rPr>
            </w:pPr>
          </w:p>
          <w:p w14:paraId="0DBF471A" w14:textId="5F27BB63" w:rsidR="008F3DD7" w:rsidRPr="003C0940" w:rsidRDefault="00F9645B">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 xml:space="preserve">Dana 26.04.2012. godine Opština Lapovo i FCC Vrbak (tada .A.S.A. Vrbak) zaključili su Aneks Ugovora o sakupljanju otpada, koji je kod Opštine Lapovo zaveden pod brojem 352-14/2012-II, a kod .A.S.A. Vrbak pod brojem 232/012 (u daljem tekstu označeno kao: </w:t>
            </w:r>
            <w:r w:rsidRPr="003C0940">
              <w:rPr>
                <w:rFonts w:ascii="Verdana" w:eastAsia="Times New Roman" w:hAnsi="Verdana" w:cs="Arial"/>
                <w:b/>
                <w:sz w:val="20"/>
                <w:szCs w:val="20"/>
                <w:lang w:eastAsia="de-DE"/>
              </w:rPr>
              <w:t>„Aneks Ugovora“</w:t>
            </w:r>
            <w:r w:rsidRPr="003C0940">
              <w:rPr>
                <w:rFonts w:ascii="Verdana" w:eastAsia="Times New Roman" w:hAnsi="Verdana" w:cs="Arial"/>
                <w:bCs/>
                <w:sz w:val="20"/>
                <w:szCs w:val="20"/>
                <w:lang w:eastAsia="de-DE"/>
              </w:rPr>
              <w:t>)</w:t>
            </w:r>
            <w:r w:rsidR="00B10E65" w:rsidRPr="003C0940">
              <w:rPr>
                <w:rFonts w:ascii="Verdana" w:eastAsia="Times New Roman" w:hAnsi="Verdana" w:cs="Arial"/>
                <w:bCs/>
                <w:sz w:val="20"/>
                <w:szCs w:val="20"/>
                <w:lang w:eastAsia="de-DE"/>
              </w:rPr>
              <w:t xml:space="preserve"> i Aneks 2 Ugovora o sakupljanju otpada od 19.12.2023. godine koji je kod Klijenta zaveden pod brojem 352-139/23-I od 19.12.2023. godine, a kod Operatera zaveden pod brojem 08-16 od 19.12.2023. godine (u daljem tekstu označeno kao: </w:t>
            </w:r>
            <w:r w:rsidR="00B10E65" w:rsidRPr="003C0940">
              <w:rPr>
                <w:rFonts w:ascii="Verdana" w:eastAsia="Times New Roman" w:hAnsi="Verdana" w:cs="Arial"/>
                <w:b/>
                <w:sz w:val="20"/>
                <w:szCs w:val="20"/>
                <w:lang w:eastAsia="de-DE"/>
              </w:rPr>
              <w:t>„Aneks 2 Ugovora</w:t>
            </w:r>
            <w:r w:rsidR="005E572D" w:rsidRPr="003C0940">
              <w:rPr>
                <w:rFonts w:ascii="Verdana" w:eastAsia="Times New Roman" w:hAnsi="Verdana" w:cs="Arial"/>
                <w:b/>
                <w:sz w:val="20"/>
                <w:szCs w:val="20"/>
                <w:lang w:eastAsia="de-DE"/>
              </w:rPr>
              <w:t>“</w:t>
            </w:r>
            <w:r w:rsidR="00B10E65" w:rsidRPr="003C0940">
              <w:rPr>
                <w:rFonts w:ascii="Verdana" w:eastAsia="Times New Roman" w:hAnsi="Verdana" w:cs="Arial"/>
                <w:bCs/>
                <w:sz w:val="20"/>
                <w:szCs w:val="20"/>
                <w:lang w:eastAsia="de-DE"/>
              </w:rPr>
              <w:t>)</w:t>
            </w:r>
            <w:r w:rsidR="00812D52" w:rsidRPr="003C0940">
              <w:rPr>
                <w:rFonts w:ascii="Verdana" w:eastAsia="Times New Roman" w:hAnsi="Verdana" w:cs="Arial"/>
                <w:bCs/>
                <w:sz w:val="20"/>
                <w:szCs w:val="20"/>
                <w:lang w:eastAsia="de-DE"/>
              </w:rPr>
              <w:t>.</w:t>
            </w:r>
          </w:p>
          <w:p w14:paraId="16AB7ACA" w14:textId="77777777" w:rsidR="007E59D7" w:rsidRPr="003C0940" w:rsidRDefault="007E59D7">
            <w:pPr>
              <w:keepNext/>
              <w:snapToGrid w:val="0"/>
              <w:jc w:val="both"/>
              <w:rPr>
                <w:rFonts w:ascii="Verdana" w:eastAsia="Times New Roman" w:hAnsi="Verdana" w:cs="Arial"/>
                <w:bCs/>
                <w:sz w:val="20"/>
                <w:szCs w:val="20"/>
                <w:lang w:eastAsia="de-DE"/>
              </w:rPr>
            </w:pPr>
          </w:p>
          <w:p w14:paraId="581FEFA2" w14:textId="36B51150" w:rsidR="00F60596" w:rsidRPr="003C0940" w:rsidRDefault="006A1ECB" w:rsidP="00E4239C">
            <w:pPr>
              <w:keepNext/>
              <w:snapToGrid w:val="0"/>
              <w:jc w:val="both"/>
              <w:rPr>
                <w:rFonts w:ascii="Verdana" w:hAnsi="Verdana"/>
                <w:b/>
                <w:bCs/>
                <w:sz w:val="20"/>
                <w:szCs w:val="20"/>
              </w:rPr>
            </w:pPr>
            <w:r w:rsidRPr="003C0940">
              <w:rPr>
                <w:rFonts w:ascii="Verdana" w:eastAsia="Times New Roman" w:hAnsi="Verdana" w:cs="Arial"/>
                <w:bCs/>
                <w:sz w:val="20"/>
                <w:szCs w:val="20"/>
                <w:lang w:eastAsia="de-DE"/>
              </w:rPr>
              <w:t>Ugovorne strane saglasno pristupaju zaključenju ovog Aneksa</w:t>
            </w:r>
            <w:r w:rsidR="00B10E65" w:rsidRPr="003C0940">
              <w:rPr>
                <w:rFonts w:ascii="Verdana" w:eastAsia="Times New Roman" w:hAnsi="Verdana" w:cs="Arial"/>
                <w:bCs/>
                <w:sz w:val="20"/>
                <w:szCs w:val="20"/>
                <w:lang w:eastAsia="de-DE"/>
              </w:rPr>
              <w:t xml:space="preserve"> 3 Ugovora</w:t>
            </w:r>
            <w:r w:rsidRPr="003C0940">
              <w:rPr>
                <w:rFonts w:ascii="Verdana" w:eastAsia="Times New Roman" w:hAnsi="Verdana" w:cs="Arial"/>
                <w:bCs/>
                <w:sz w:val="20"/>
                <w:szCs w:val="20"/>
                <w:lang w:eastAsia="de-DE"/>
              </w:rPr>
              <w:t xml:space="preserve"> kojim se utvrđuje nova cena sakupljanja otpada</w:t>
            </w:r>
            <w:r w:rsidR="00DC7C90" w:rsidRPr="003C0940">
              <w:rPr>
                <w:rFonts w:ascii="Verdana" w:eastAsia="Times New Roman" w:hAnsi="Verdana" w:cs="Arial"/>
                <w:bCs/>
                <w:sz w:val="20"/>
                <w:szCs w:val="20"/>
                <w:lang w:eastAsia="de-DE"/>
              </w:rPr>
              <w:t xml:space="preserve"> sa teritorije opštine Lapovo</w:t>
            </w:r>
            <w:r w:rsidR="00E4239C" w:rsidRPr="003C0940">
              <w:rPr>
                <w:rFonts w:ascii="Verdana" w:eastAsia="Times New Roman" w:hAnsi="Verdana" w:cs="Arial"/>
                <w:bCs/>
                <w:sz w:val="20"/>
                <w:szCs w:val="20"/>
                <w:lang w:eastAsia="de-DE"/>
              </w:rPr>
              <w:t xml:space="preserve"> uvećana za stopu inflacije koju objavljuje Republički </w:t>
            </w:r>
            <w:r w:rsidR="00E4239C" w:rsidRPr="003C0940">
              <w:rPr>
                <w:rFonts w:ascii="Verdana" w:eastAsia="Times New Roman" w:hAnsi="Verdana" w:cs="Arial"/>
                <w:bCs/>
                <w:sz w:val="20"/>
                <w:szCs w:val="20"/>
                <w:lang w:eastAsia="de-DE"/>
              </w:rPr>
              <w:lastRenderedPageBreak/>
              <w:t>zavod za statistiku Srbije.</w:t>
            </w:r>
            <w:r w:rsidR="00FC0DBC" w:rsidRPr="003C0940">
              <w:rPr>
                <w:rFonts w:ascii="Verdana" w:eastAsia="Times New Roman" w:hAnsi="Verdana" w:cs="Arial"/>
                <w:bCs/>
                <w:sz w:val="20"/>
                <w:szCs w:val="20"/>
                <w:lang w:eastAsia="de-DE"/>
              </w:rPr>
              <w:t xml:space="preserve">(u daljem tekstu: </w:t>
            </w:r>
            <w:r w:rsidR="00BE1E66" w:rsidRPr="003C0940">
              <w:rPr>
                <w:rFonts w:ascii="Verdana" w:eastAsia="Times New Roman" w:hAnsi="Verdana" w:cs="Arial"/>
                <w:b/>
                <w:sz w:val="20"/>
                <w:szCs w:val="20"/>
                <w:lang w:eastAsia="de-DE"/>
              </w:rPr>
              <w:t>Prilog 1 Aneksa 3</w:t>
            </w:r>
            <w:r w:rsidR="00BE1E66" w:rsidRPr="003C0940">
              <w:rPr>
                <w:rFonts w:ascii="Verdana" w:eastAsia="Times New Roman" w:hAnsi="Verdana" w:cs="Arial"/>
                <w:bCs/>
                <w:sz w:val="20"/>
                <w:szCs w:val="20"/>
                <w:lang w:eastAsia="de-DE"/>
              </w:rPr>
              <w:t xml:space="preserve"> - </w:t>
            </w:r>
            <w:r w:rsidR="00FC0DBC" w:rsidRPr="003C0940">
              <w:rPr>
                <w:rFonts w:ascii="Verdana" w:eastAsia="Times New Roman" w:hAnsi="Verdana" w:cs="Arial"/>
                <w:b/>
                <w:sz w:val="20"/>
                <w:szCs w:val="20"/>
                <w:lang w:eastAsia="de-DE"/>
              </w:rPr>
              <w:t>„Cenovnik“</w:t>
            </w:r>
            <w:r w:rsidR="00FC0DBC" w:rsidRPr="003C0940">
              <w:rPr>
                <w:rFonts w:ascii="Verdana" w:eastAsia="Times New Roman" w:hAnsi="Verdana" w:cs="Arial"/>
                <w:bCs/>
                <w:sz w:val="20"/>
                <w:szCs w:val="20"/>
                <w:lang w:eastAsia="de-DE"/>
              </w:rPr>
              <w:t>).</w:t>
            </w:r>
          </w:p>
          <w:p w14:paraId="3C6C79D4" w14:textId="45C6FC3A" w:rsidR="008F3DD7" w:rsidRPr="003C0940" w:rsidRDefault="008F3DD7">
            <w:pPr>
              <w:keepNext/>
              <w:snapToGrid w:val="0"/>
              <w:jc w:val="both"/>
              <w:rPr>
                <w:rFonts w:ascii="Verdana" w:eastAsia="Times New Roman" w:hAnsi="Verdana" w:cs="Arial"/>
                <w:bCs/>
                <w:sz w:val="20"/>
                <w:szCs w:val="20"/>
                <w:lang w:eastAsia="de-DE"/>
              </w:rPr>
            </w:pPr>
          </w:p>
          <w:p w14:paraId="7DC8BDCE" w14:textId="0144E94E" w:rsidR="006A1ECB" w:rsidRPr="003C0940" w:rsidRDefault="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Takođe</w:t>
            </w:r>
            <w:r w:rsidR="00432F45" w:rsidRPr="003C0940">
              <w:rPr>
                <w:rFonts w:ascii="Verdana" w:eastAsia="Times New Roman" w:hAnsi="Verdana" w:cs="Arial"/>
                <w:bCs/>
                <w:sz w:val="20"/>
                <w:szCs w:val="20"/>
                <w:lang w:eastAsia="de-DE"/>
              </w:rPr>
              <w:t>,</w:t>
            </w:r>
            <w:r w:rsidRPr="003C0940">
              <w:rPr>
                <w:rFonts w:ascii="Verdana" w:eastAsia="Times New Roman" w:hAnsi="Verdana" w:cs="Arial"/>
                <w:bCs/>
                <w:sz w:val="20"/>
                <w:szCs w:val="20"/>
                <w:lang w:eastAsia="de-DE"/>
              </w:rPr>
              <w:t xml:space="preserve"> Ugovorne strane pristupaju zaključenju ovog Aneksa</w:t>
            </w:r>
            <w:r w:rsidR="00B10E65" w:rsidRPr="003C0940">
              <w:rPr>
                <w:rFonts w:ascii="Verdana" w:eastAsia="Times New Roman" w:hAnsi="Verdana" w:cs="Arial"/>
                <w:bCs/>
                <w:sz w:val="20"/>
                <w:szCs w:val="20"/>
                <w:lang w:eastAsia="de-DE"/>
              </w:rPr>
              <w:t xml:space="preserve"> 3 Ugovora</w:t>
            </w:r>
            <w:r w:rsidRPr="003C0940">
              <w:rPr>
                <w:rFonts w:ascii="Verdana" w:eastAsia="Times New Roman" w:hAnsi="Verdana" w:cs="Arial"/>
                <w:bCs/>
                <w:sz w:val="20"/>
                <w:szCs w:val="20"/>
                <w:lang w:eastAsia="de-DE"/>
              </w:rPr>
              <w:t xml:space="preserve"> kojim se utvrđuje Plan sakupljanja otpada na teritoriji opštine Lapovo </w:t>
            </w:r>
            <w:r w:rsidR="000A6084" w:rsidRPr="003C0940">
              <w:rPr>
                <w:rFonts w:ascii="Verdana" w:eastAsia="Times New Roman" w:hAnsi="Verdana" w:cs="Arial"/>
                <w:bCs/>
                <w:sz w:val="20"/>
                <w:szCs w:val="20"/>
                <w:lang w:eastAsia="de-DE"/>
              </w:rPr>
              <w:t>(</w:t>
            </w:r>
            <w:r w:rsidRPr="003C0940">
              <w:rPr>
                <w:rFonts w:ascii="Verdana" w:eastAsia="Times New Roman" w:hAnsi="Verdana" w:cs="Arial"/>
                <w:bCs/>
                <w:sz w:val="20"/>
                <w:szCs w:val="20"/>
                <w:lang w:eastAsia="de-DE"/>
              </w:rPr>
              <w:t>Rute</w:t>
            </w:r>
            <w:r w:rsidR="000A6084" w:rsidRPr="003C0940">
              <w:rPr>
                <w:rFonts w:ascii="Verdana" w:eastAsia="Times New Roman" w:hAnsi="Verdana" w:cs="Arial"/>
                <w:bCs/>
                <w:sz w:val="20"/>
                <w:szCs w:val="20"/>
                <w:lang w:eastAsia="de-DE"/>
              </w:rPr>
              <w:t>)</w:t>
            </w:r>
            <w:r w:rsidRPr="003C0940">
              <w:rPr>
                <w:rFonts w:ascii="Verdana" w:eastAsia="Times New Roman" w:hAnsi="Verdana" w:cs="Arial"/>
                <w:bCs/>
                <w:sz w:val="20"/>
                <w:szCs w:val="20"/>
                <w:lang w:eastAsia="de-DE"/>
              </w:rPr>
              <w:t xml:space="preserve"> koji će biti sastavni deo Aneksa </w:t>
            </w:r>
            <w:r w:rsidR="00B10E65" w:rsidRPr="003C0940">
              <w:rPr>
                <w:rFonts w:ascii="Verdana" w:eastAsia="Times New Roman" w:hAnsi="Verdana" w:cs="Arial"/>
                <w:bCs/>
                <w:sz w:val="20"/>
                <w:szCs w:val="20"/>
                <w:lang w:eastAsia="de-DE"/>
              </w:rPr>
              <w:t>3</w:t>
            </w:r>
            <w:r w:rsidRPr="003C0940">
              <w:rPr>
                <w:rFonts w:ascii="Verdana" w:eastAsia="Times New Roman" w:hAnsi="Verdana" w:cs="Arial"/>
                <w:bCs/>
                <w:sz w:val="20"/>
                <w:szCs w:val="20"/>
                <w:lang w:eastAsia="de-DE"/>
              </w:rPr>
              <w:t xml:space="preserve"> Ugovora kao</w:t>
            </w:r>
            <w:r w:rsidRPr="003C0940">
              <w:rPr>
                <w:rFonts w:ascii="Verdana" w:eastAsia="Times New Roman" w:hAnsi="Verdana" w:cs="Arial"/>
                <w:b/>
                <w:sz w:val="20"/>
                <w:szCs w:val="20"/>
                <w:lang w:eastAsia="de-DE"/>
              </w:rPr>
              <w:t xml:space="preserve"> Prilog </w:t>
            </w:r>
            <w:r w:rsidR="00050537" w:rsidRPr="003C0940">
              <w:rPr>
                <w:rFonts w:ascii="Verdana" w:eastAsia="Times New Roman" w:hAnsi="Verdana" w:cs="Arial"/>
                <w:b/>
                <w:sz w:val="20"/>
                <w:szCs w:val="20"/>
                <w:lang w:eastAsia="de-DE"/>
              </w:rPr>
              <w:t>3</w:t>
            </w:r>
            <w:r w:rsidRPr="003C0940">
              <w:rPr>
                <w:rFonts w:ascii="Verdana" w:eastAsia="Times New Roman" w:hAnsi="Verdana" w:cs="Arial"/>
                <w:bCs/>
                <w:sz w:val="20"/>
                <w:szCs w:val="20"/>
                <w:lang w:eastAsia="de-DE"/>
              </w:rPr>
              <w:t>.</w:t>
            </w:r>
          </w:p>
          <w:p w14:paraId="23A1E626" w14:textId="77777777" w:rsidR="006A1ECB" w:rsidRPr="003C0940" w:rsidRDefault="006A1ECB">
            <w:pPr>
              <w:keepNext/>
              <w:snapToGrid w:val="0"/>
              <w:jc w:val="both"/>
              <w:rPr>
                <w:rFonts w:ascii="Verdana" w:eastAsia="Times New Roman" w:hAnsi="Verdana" w:cs="Arial"/>
                <w:bCs/>
                <w:sz w:val="20"/>
                <w:szCs w:val="20"/>
                <w:lang w:eastAsia="de-DE"/>
              </w:rPr>
            </w:pPr>
          </w:p>
          <w:p w14:paraId="273F9345" w14:textId="77777777" w:rsidR="003A3B63" w:rsidRPr="003C0940" w:rsidRDefault="003A3B63">
            <w:pPr>
              <w:keepNext/>
              <w:snapToGrid w:val="0"/>
              <w:jc w:val="both"/>
              <w:rPr>
                <w:rFonts w:ascii="Verdana" w:eastAsia="Times New Roman" w:hAnsi="Verdana" w:cs="Arial"/>
                <w:bCs/>
                <w:sz w:val="20"/>
                <w:szCs w:val="20"/>
                <w:lang w:eastAsia="de-DE"/>
              </w:rPr>
            </w:pPr>
          </w:p>
          <w:p w14:paraId="21598456" w14:textId="2E023F35" w:rsidR="002E208A" w:rsidRPr="003C0940" w:rsidRDefault="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UGOVORNE STRANE SU SE DOGOVORILE KAKO DALJE SLEDI</w:t>
            </w:r>
            <w:r w:rsidR="001A4A0B" w:rsidRPr="003C0940">
              <w:rPr>
                <w:rFonts w:ascii="Verdana" w:eastAsia="Times New Roman" w:hAnsi="Verdana" w:cs="Arial"/>
                <w:bCs/>
                <w:sz w:val="20"/>
                <w:szCs w:val="20"/>
                <w:lang w:eastAsia="de-DE"/>
              </w:rPr>
              <w:t>:</w:t>
            </w:r>
          </w:p>
          <w:p w14:paraId="16FEC322" w14:textId="5C9C74FD" w:rsidR="006A1ECB" w:rsidRPr="003C0940" w:rsidRDefault="006A1ECB">
            <w:pPr>
              <w:keepNext/>
              <w:snapToGrid w:val="0"/>
              <w:jc w:val="both"/>
              <w:rPr>
                <w:rFonts w:ascii="Verdana" w:eastAsia="Times New Roman" w:hAnsi="Verdana" w:cs="Arial"/>
                <w:bCs/>
                <w:sz w:val="20"/>
                <w:szCs w:val="20"/>
                <w:lang w:eastAsia="de-DE"/>
              </w:rPr>
            </w:pPr>
          </w:p>
          <w:p w14:paraId="455910F6" w14:textId="222BF387" w:rsidR="003D5157" w:rsidRPr="003C0940" w:rsidRDefault="00387144" w:rsidP="008F3DD7">
            <w:pPr>
              <w:keepNext/>
              <w:snapToGrid w:val="0"/>
              <w:jc w:val="both"/>
              <w:rPr>
                <w:rFonts w:ascii="Verdana" w:eastAsia="Times New Roman" w:hAnsi="Verdana" w:cs="Arial"/>
                <w:b/>
                <w:sz w:val="20"/>
                <w:szCs w:val="20"/>
                <w:lang w:eastAsia="de-DE"/>
              </w:rPr>
            </w:pPr>
            <w:r w:rsidRPr="003C0940">
              <w:rPr>
                <w:rFonts w:ascii="Verdana" w:eastAsia="Times New Roman" w:hAnsi="Verdana" w:cs="Arial"/>
                <w:b/>
                <w:sz w:val="20"/>
                <w:szCs w:val="20"/>
                <w:lang w:eastAsia="de-DE"/>
              </w:rPr>
              <w:t xml:space="preserve">I </w:t>
            </w:r>
            <w:r w:rsidR="006A1ECB" w:rsidRPr="003C0940">
              <w:rPr>
                <w:rFonts w:ascii="Verdana" w:eastAsia="Times New Roman" w:hAnsi="Verdana" w:cs="Arial"/>
                <w:b/>
                <w:sz w:val="20"/>
                <w:szCs w:val="20"/>
                <w:lang w:eastAsia="de-DE"/>
              </w:rPr>
              <w:t xml:space="preserve">PREDMET ANEKSA </w:t>
            </w:r>
            <w:r w:rsidR="00AD2680" w:rsidRPr="003C0940">
              <w:rPr>
                <w:rFonts w:ascii="Verdana" w:eastAsia="Times New Roman" w:hAnsi="Verdana" w:cs="Arial"/>
                <w:b/>
                <w:sz w:val="20"/>
                <w:szCs w:val="20"/>
                <w:lang w:eastAsia="de-DE"/>
              </w:rPr>
              <w:t>3</w:t>
            </w:r>
            <w:r w:rsidR="006A1ECB" w:rsidRPr="003C0940">
              <w:rPr>
                <w:rFonts w:ascii="Verdana" w:eastAsia="Times New Roman" w:hAnsi="Verdana" w:cs="Arial"/>
                <w:b/>
                <w:sz w:val="20"/>
                <w:szCs w:val="20"/>
                <w:lang w:eastAsia="de-DE"/>
              </w:rPr>
              <w:t xml:space="preserve"> UGOVORA</w:t>
            </w:r>
          </w:p>
          <w:p w14:paraId="7F038555" w14:textId="77777777" w:rsidR="003D5157" w:rsidRPr="003C0940" w:rsidRDefault="003D5157" w:rsidP="006A1ECB">
            <w:pPr>
              <w:keepNext/>
              <w:snapToGrid w:val="0"/>
              <w:jc w:val="center"/>
              <w:rPr>
                <w:rFonts w:ascii="Verdana" w:eastAsia="Times New Roman" w:hAnsi="Verdana" w:cs="Arial"/>
                <w:b/>
                <w:sz w:val="20"/>
                <w:szCs w:val="20"/>
                <w:lang w:eastAsia="de-DE"/>
              </w:rPr>
            </w:pPr>
          </w:p>
          <w:p w14:paraId="3563C290" w14:textId="04EC79A6" w:rsidR="007E59D7" w:rsidRPr="003C0940" w:rsidRDefault="006A1ECB" w:rsidP="006A1ECB">
            <w:pPr>
              <w:keepNext/>
              <w:snapToGrid w:val="0"/>
              <w:jc w:val="center"/>
              <w:rPr>
                <w:rFonts w:ascii="Verdana" w:eastAsia="Times New Roman" w:hAnsi="Verdana" w:cs="Arial"/>
                <w:b/>
                <w:sz w:val="20"/>
                <w:szCs w:val="20"/>
                <w:lang w:eastAsia="de-DE"/>
              </w:rPr>
            </w:pPr>
            <w:r w:rsidRPr="003C0940">
              <w:rPr>
                <w:rFonts w:ascii="Verdana" w:eastAsia="Times New Roman" w:hAnsi="Verdana" w:cs="Arial"/>
                <w:b/>
                <w:sz w:val="20"/>
                <w:szCs w:val="20"/>
                <w:lang w:eastAsia="de-DE"/>
              </w:rPr>
              <w:t xml:space="preserve">Član </w:t>
            </w:r>
            <w:r w:rsidR="00227AD7" w:rsidRPr="003C0940">
              <w:rPr>
                <w:rFonts w:ascii="Verdana" w:eastAsia="Times New Roman" w:hAnsi="Verdana" w:cs="Arial"/>
                <w:b/>
                <w:sz w:val="20"/>
                <w:szCs w:val="20"/>
                <w:lang w:eastAsia="de-DE"/>
              </w:rPr>
              <w:t>1</w:t>
            </w:r>
          </w:p>
          <w:p w14:paraId="7AEC4D26" w14:textId="77777777" w:rsidR="006A1ECB" w:rsidRPr="003C0940" w:rsidRDefault="006A1ECB">
            <w:pPr>
              <w:keepNext/>
              <w:snapToGrid w:val="0"/>
              <w:jc w:val="both"/>
              <w:rPr>
                <w:rFonts w:ascii="Verdana" w:eastAsia="Times New Roman" w:hAnsi="Verdana" w:cs="Arial"/>
                <w:b/>
                <w:sz w:val="20"/>
                <w:szCs w:val="20"/>
                <w:lang w:eastAsia="de-DE"/>
              </w:rPr>
            </w:pPr>
          </w:p>
          <w:p w14:paraId="4F2BD8DE" w14:textId="10C11D76" w:rsidR="007E59D7" w:rsidRPr="003C0940" w:rsidRDefault="00635575">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1.1.</w:t>
            </w:r>
            <w:r w:rsidRPr="003C0940">
              <w:rPr>
                <w:rFonts w:ascii="Verdana" w:eastAsia="Times New Roman" w:hAnsi="Verdana" w:cs="Arial"/>
                <w:bCs/>
                <w:sz w:val="20"/>
                <w:szCs w:val="20"/>
                <w:lang w:eastAsia="de-DE"/>
              </w:rPr>
              <w:t xml:space="preserve"> </w:t>
            </w:r>
            <w:r w:rsidR="006A1ECB" w:rsidRPr="003C0940">
              <w:rPr>
                <w:rFonts w:ascii="Verdana" w:eastAsia="Times New Roman" w:hAnsi="Verdana" w:cs="Arial"/>
                <w:bCs/>
                <w:sz w:val="20"/>
                <w:szCs w:val="20"/>
                <w:lang w:eastAsia="de-DE"/>
              </w:rPr>
              <w:t xml:space="preserve">Menja se član </w:t>
            </w:r>
            <w:r w:rsidR="00AD2680" w:rsidRPr="003C0940">
              <w:rPr>
                <w:rFonts w:ascii="Verdana" w:eastAsia="Times New Roman" w:hAnsi="Verdana" w:cs="Arial"/>
                <w:bCs/>
                <w:sz w:val="20"/>
                <w:szCs w:val="20"/>
                <w:lang w:eastAsia="de-DE"/>
              </w:rPr>
              <w:t xml:space="preserve">1 Aneksa 2 </w:t>
            </w:r>
            <w:r w:rsidR="006A1ECB" w:rsidRPr="003C0940">
              <w:rPr>
                <w:rFonts w:ascii="Verdana" w:eastAsia="Times New Roman" w:hAnsi="Verdana" w:cs="Arial"/>
                <w:bCs/>
                <w:sz w:val="20"/>
                <w:szCs w:val="20"/>
                <w:lang w:eastAsia="de-DE"/>
              </w:rPr>
              <w:t>Ugovora</w:t>
            </w:r>
            <w:r w:rsidR="00B95C6C" w:rsidRPr="003C0940">
              <w:rPr>
                <w:rFonts w:ascii="Verdana" w:eastAsia="Times New Roman" w:hAnsi="Verdana" w:cs="Arial"/>
                <w:bCs/>
                <w:sz w:val="20"/>
                <w:szCs w:val="20"/>
                <w:lang w:eastAsia="de-DE"/>
              </w:rPr>
              <w:t xml:space="preserve"> </w:t>
            </w:r>
            <w:r w:rsidR="006A1ECB" w:rsidRPr="003C0940">
              <w:rPr>
                <w:rFonts w:ascii="Verdana" w:eastAsia="Times New Roman" w:hAnsi="Verdana" w:cs="Arial"/>
                <w:bCs/>
                <w:sz w:val="20"/>
                <w:szCs w:val="20"/>
                <w:lang w:eastAsia="de-DE"/>
              </w:rPr>
              <w:t xml:space="preserve"> tako da isti sada glasi: </w:t>
            </w:r>
          </w:p>
          <w:p w14:paraId="24371EA9" w14:textId="77777777" w:rsidR="006A1ECB" w:rsidRPr="003C0940" w:rsidRDefault="006A1ECB">
            <w:pPr>
              <w:keepNext/>
              <w:snapToGrid w:val="0"/>
              <w:jc w:val="both"/>
              <w:rPr>
                <w:rFonts w:ascii="Verdana" w:eastAsia="Times New Roman" w:hAnsi="Verdana" w:cs="Arial"/>
                <w:b/>
                <w:sz w:val="20"/>
                <w:szCs w:val="20"/>
                <w:lang w:eastAsia="de-DE"/>
              </w:rPr>
            </w:pPr>
          </w:p>
          <w:p w14:paraId="67FA21B1" w14:textId="51D2DAE3" w:rsidR="006A1ECB" w:rsidRPr="003C0940" w:rsidRDefault="006A1ECB"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 xml:space="preserve">Cena sakupljanja otpada </w:t>
            </w:r>
            <w:r w:rsidR="00CB710F" w:rsidRPr="003C0940">
              <w:rPr>
                <w:rFonts w:ascii="Verdana" w:eastAsia="Times New Roman" w:hAnsi="Verdana" w:cs="Arial"/>
                <w:bCs/>
                <w:sz w:val="20"/>
                <w:szCs w:val="20"/>
                <w:lang w:eastAsia="de-DE"/>
              </w:rPr>
              <w:t>iznosi 21</w:t>
            </w:r>
            <w:r w:rsidR="0077092F" w:rsidRPr="003C0940">
              <w:rPr>
                <w:rFonts w:ascii="Verdana" w:eastAsia="Times New Roman" w:hAnsi="Verdana" w:cs="Arial"/>
                <w:bCs/>
                <w:sz w:val="20"/>
                <w:szCs w:val="20"/>
                <w:lang w:eastAsia="de-DE"/>
              </w:rPr>
              <w:t>6</w:t>
            </w:r>
            <w:r w:rsidR="00CB710F" w:rsidRPr="003C0940">
              <w:rPr>
                <w:rFonts w:ascii="Verdana" w:eastAsia="Times New Roman" w:hAnsi="Verdana" w:cs="Arial"/>
                <w:bCs/>
                <w:sz w:val="20"/>
                <w:szCs w:val="20"/>
                <w:lang w:eastAsia="de-DE"/>
              </w:rPr>
              <w:t>,</w:t>
            </w:r>
            <w:r w:rsidR="0077092F" w:rsidRPr="003C0940">
              <w:rPr>
                <w:rFonts w:ascii="Verdana" w:eastAsia="Times New Roman" w:hAnsi="Verdana" w:cs="Arial"/>
                <w:bCs/>
                <w:sz w:val="20"/>
                <w:szCs w:val="20"/>
                <w:lang w:eastAsia="de-DE"/>
              </w:rPr>
              <w:t>2</w:t>
            </w:r>
            <w:r w:rsidR="00CB710F" w:rsidRPr="003C0940">
              <w:rPr>
                <w:rFonts w:ascii="Verdana" w:eastAsia="Times New Roman" w:hAnsi="Verdana" w:cs="Arial"/>
                <w:bCs/>
                <w:sz w:val="20"/>
                <w:szCs w:val="20"/>
                <w:lang w:eastAsia="de-DE"/>
              </w:rPr>
              <w:t xml:space="preserve"> rsd</w:t>
            </w:r>
            <w:r w:rsidRPr="003C0940">
              <w:rPr>
                <w:rFonts w:ascii="Verdana" w:eastAsia="Times New Roman" w:hAnsi="Verdana" w:cs="Arial"/>
                <w:bCs/>
                <w:sz w:val="20"/>
                <w:szCs w:val="20"/>
                <w:lang w:eastAsia="de-DE"/>
              </w:rPr>
              <w:t xml:space="preserve"> po osobi mesečno, plus </w:t>
            </w:r>
            <w:r w:rsidR="00553B0D" w:rsidRPr="003C0940">
              <w:rPr>
                <w:rFonts w:ascii="Verdana" w:eastAsia="Times New Roman" w:hAnsi="Verdana" w:cs="Arial"/>
                <w:bCs/>
                <w:sz w:val="20"/>
                <w:szCs w:val="20"/>
                <w:lang w:eastAsia="de-DE"/>
              </w:rPr>
              <w:t>pdv.</w:t>
            </w:r>
          </w:p>
          <w:p w14:paraId="6CFA1E8F" w14:textId="77777777" w:rsidR="00635575" w:rsidRPr="003C0940" w:rsidRDefault="00635575" w:rsidP="006A1ECB">
            <w:pPr>
              <w:keepNext/>
              <w:snapToGrid w:val="0"/>
              <w:jc w:val="both"/>
              <w:rPr>
                <w:rFonts w:ascii="Verdana" w:eastAsia="Times New Roman" w:hAnsi="Verdana" w:cs="Arial"/>
                <w:bCs/>
                <w:sz w:val="20"/>
                <w:szCs w:val="20"/>
                <w:lang w:eastAsia="de-DE"/>
              </w:rPr>
            </w:pPr>
          </w:p>
          <w:p w14:paraId="401B8053" w14:textId="1CAA1C6C" w:rsidR="006A1ECB" w:rsidRPr="003C0940" w:rsidRDefault="006A1ECB"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 xml:space="preserve">Za socijalno ugrožena lica primenjivaće se umanjena cena od 120,00 rsd po osobi mesečno, plus </w:t>
            </w:r>
            <w:r w:rsidR="00833B97" w:rsidRPr="003C0940">
              <w:rPr>
                <w:rFonts w:ascii="Verdana" w:eastAsia="Times New Roman" w:hAnsi="Verdana" w:cs="Arial"/>
                <w:bCs/>
                <w:sz w:val="20"/>
                <w:szCs w:val="20"/>
                <w:lang w:eastAsia="de-DE"/>
              </w:rPr>
              <w:t>pdv.</w:t>
            </w:r>
          </w:p>
          <w:p w14:paraId="7A16C592" w14:textId="77777777" w:rsidR="006A1ECB" w:rsidRPr="003C0940" w:rsidRDefault="006A1ECB" w:rsidP="006A1ECB">
            <w:pPr>
              <w:keepNext/>
              <w:snapToGrid w:val="0"/>
              <w:jc w:val="both"/>
              <w:rPr>
                <w:rFonts w:ascii="Verdana" w:eastAsia="Times New Roman" w:hAnsi="Verdana" w:cs="Arial"/>
                <w:bCs/>
                <w:sz w:val="20"/>
                <w:szCs w:val="20"/>
                <w:lang w:eastAsia="de-DE"/>
              </w:rPr>
            </w:pPr>
          </w:p>
          <w:p w14:paraId="43518485" w14:textId="024DB8DB" w:rsidR="009D297F" w:rsidRPr="003C0940" w:rsidRDefault="009D297F"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Cena sakupljanja komunalnog otpada za pravna lica do 3</w:t>
            </w:r>
            <w:r w:rsidR="00B54159" w:rsidRPr="003C0940">
              <w:rPr>
                <w:rFonts w:ascii="Verdana" w:eastAsia="Times New Roman" w:hAnsi="Verdana" w:cs="Arial"/>
                <w:bCs/>
                <w:sz w:val="20"/>
                <w:szCs w:val="20"/>
                <w:lang w:eastAsia="de-DE"/>
              </w:rPr>
              <w:t>5</w:t>
            </w:r>
            <w:r w:rsidRPr="003C0940">
              <w:rPr>
                <w:rFonts w:ascii="Verdana" w:eastAsia="Times New Roman" w:hAnsi="Verdana" w:cs="Arial"/>
                <w:bCs/>
                <w:sz w:val="20"/>
                <w:szCs w:val="20"/>
                <w:lang w:eastAsia="de-DE"/>
              </w:rPr>
              <w:t>m</w:t>
            </w:r>
            <w:r w:rsidRPr="003C0940">
              <w:rPr>
                <w:rFonts w:ascii="Verdana" w:eastAsia="Times New Roman" w:hAnsi="Verdana" w:cs="Arial"/>
                <w:bCs/>
                <w:sz w:val="20"/>
                <w:szCs w:val="20"/>
                <w:vertAlign w:val="superscript"/>
                <w:lang w:eastAsia="de-DE"/>
              </w:rPr>
              <w:t>2</w:t>
            </w:r>
            <w:r w:rsidRPr="003C0940">
              <w:rPr>
                <w:rFonts w:ascii="Verdana" w:eastAsia="Times New Roman" w:hAnsi="Verdana" w:cs="Arial"/>
                <w:bCs/>
                <w:sz w:val="20"/>
                <w:szCs w:val="20"/>
                <w:lang w:eastAsia="de-DE"/>
              </w:rPr>
              <w:t xml:space="preserve"> i zadruge, preduzetni</w:t>
            </w:r>
            <w:r w:rsidR="00F55CDB" w:rsidRPr="003C0940">
              <w:rPr>
                <w:rFonts w:ascii="Verdana" w:eastAsia="Times New Roman" w:hAnsi="Verdana" w:cs="Arial"/>
                <w:bCs/>
                <w:sz w:val="20"/>
                <w:szCs w:val="20"/>
                <w:lang w:eastAsia="de-DE"/>
              </w:rPr>
              <w:t>k</w:t>
            </w:r>
            <w:r w:rsidRPr="003C0940">
              <w:rPr>
                <w:rFonts w:ascii="Verdana" w:eastAsia="Times New Roman" w:hAnsi="Verdana" w:cs="Arial"/>
                <w:bCs/>
                <w:sz w:val="20"/>
                <w:szCs w:val="20"/>
                <w:lang w:eastAsia="de-DE"/>
              </w:rPr>
              <w:t xml:space="preserve">e, udruženja </w:t>
            </w:r>
            <w:r w:rsidR="00A5560F" w:rsidRPr="003C0940">
              <w:rPr>
                <w:rFonts w:ascii="Verdana" w:eastAsia="Times New Roman" w:hAnsi="Verdana" w:cs="Arial"/>
                <w:bCs/>
                <w:sz w:val="20"/>
                <w:szCs w:val="20"/>
                <w:lang w:eastAsia="de-DE"/>
              </w:rPr>
              <w:t>(</w:t>
            </w:r>
            <w:r w:rsidR="00F55CDB" w:rsidRPr="003C0940">
              <w:rPr>
                <w:rFonts w:ascii="Verdana" w:eastAsia="Times New Roman" w:hAnsi="Verdana" w:cs="Arial"/>
                <w:bCs/>
                <w:sz w:val="20"/>
                <w:szCs w:val="20"/>
                <w:lang w:eastAsia="de-DE"/>
              </w:rPr>
              <w:t>paušal) iznosi 1.</w:t>
            </w:r>
            <w:r w:rsidR="0077092F" w:rsidRPr="003C0940">
              <w:rPr>
                <w:rFonts w:ascii="Verdana" w:eastAsia="Times New Roman" w:hAnsi="Verdana" w:cs="Arial"/>
                <w:bCs/>
                <w:sz w:val="20"/>
                <w:szCs w:val="20"/>
                <w:lang w:eastAsia="de-DE"/>
              </w:rPr>
              <w:t>300</w:t>
            </w:r>
            <w:r w:rsidR="00F55CDB" w:rsidRPr="003C0940">
              <w:rPr>
                <w:rFonts w:ascii="Verdana" w:eastAsia="Times New Roman" w:hAnsi="Verdana" w:cs="Arial"/>
                <w:bCs/>
                <w:sz w:val="20"/>
                <w:szCs w:val="20"/>
                <w:lang w:eastAsia="de-DE"/>
              </w:rPr>
              <w:t>,</w:t>
            </w:r>
            <w:r w:rsidR="0077092F" w:rsidRPr="003C0940">
              <w:rPr>
                <w:rFonts w:ascii="Verdana" w:eastAsia="Times New Roman" w:hAnsi="Verdana" w:cs="Arial"/>
                <w:bCs/>
                <w:sz w:val="20"/>
                <w:szCs w:val="20"/>
                <w:lang w:eastAsia="de-DE"/>
              </w:rPr>
              <w:t>00</w:t>
            </w:r>
            <w:r w:rsidR="00F55CDB" w:rsidRPr="003C0940">
              <w:rPr>
                <w:rFonts w:ascii="Verdana" w:eastAsia="Times New Roman" w:hAnsi="Verdana" w:cs="Arial"/>
                <w:bCs/>
                <w:sz w:val="20"/>
                <w:szCs w:val="20"/>
                <w:lang w:eastAsia="de-DE"/>
              </w:rPr>
              <w:t xml:space="preserve"> rsd plus pdv</w:t>
            </w:r>
            <w:r w:rsidR="004C23A3" w:rsidRPr="003C0940">
              <w:rPr>
                <w:rFonts w:ascii="Verdana" w:eastAsia="Times New Roman" w:hAnsi="Verdana" w:cs="Arial"/>
                <w:bCs/>
                <w:sz w:val="20"/>
                <w:szCs w:val="20"/>
                <w:lang w:eastAsia="de-DE"/>
              </w:rPr>
              <w:t>, isključujući ugostiteljske i prehrambene objekte, kioske i druge objekte sa sličnom vrstom delatnosti</w:t>
            </w:r>
            <w:r w:rsidR="008F4D8D" w:rsidRPr="003C0940">
              <w:rPr>
                <w:rFonts w:ascii="Verdana" w:eastAsia="Times New Roman" w:hAnsi="Verdana" w:cs="Arial"/>
                <w:bCs/>
                <w:sz w:val="20"/>
                <w:szCs w:val="20"/>
                <w:lang w:eastAsia="de-DE"/>
              </w:rPr>
              <w:t xml:space="preserve"> na koje se obračunava pun iznos paušal</w:t>
            </w:r>
            <w:r w:rsidR="00684480" w:rsidRPr="003C0940">
              <w:rPr>
                <w:rFonts w:ascii="Verdana" w:eastAsia="Times New Roman" w:hAnsi="Verdana" w:cs="Arial"/>
                <w:bCs/>
                <w:sz w:val="20"/>
                <w:szCs w:val="20"/>
                <w:lang w:eastAsia="de-DE"/>
              </w:rPr>
              <w:t xml:space="preserve"> ili cena po</w:t>
            </w:r>
            <w:r w:rsidR="00E32962" w:rsidRPr="003C0940">
              <w:rPr>
                <w:rFonts w:ascii="Verdana" w:eastAsia="Times New Roman" w:hAnsi="Verdana" w:cs="Arial"/>
                <w:bCs/>
                <w:sz w:val="20"/>
                <w:szCs w:val="20"/>
                <w:lang w:eastAsia="de-DE"/>
              </w:rPr>
              <w:t xml:space="preserve"> kvadraturi</w:t>
            </w:r>
            <w:r w:rsidR="00684480" w:rsidRPr="003C0940">
              <w:rPr>
                <w:rFonts w:ascii="Verdana" w:eastAsia="Times New Roman" w:hAnsi="Verdana" w:cs="Arial"/>
                <w:bCs/>
                <w:sz w:val="20"/>
                <w:szCs w:val="20"/>
                <w:lang w:eastAsia="de-DE"/>
              </w:rPr>
              <w:t xml:space="preserve"> </w:t>
            </w:r>
            <w:r w:rsidR="00E32962" w:rsidRPr="003C0940">
              <w:rPr>
                <w:rFonts w:ascii="Verdana" w:eastAsia="Times New Roman" w:hAnsi="Verdana" w:cs="Arial"/>
                <w:bCs/>
                <w:sz w:val="20"/>
                <w:szCs w:val="20"/>
                <w:lang w:eastAsia="de-DE"/>
              </w:rPr>
              <w:t>(</w:t>
            </w:r>
            <w:r w:rsidR="00684480" w:rsidRPr="003C0940">
              <w:rPr>
                <w:rFonts w:ascii="Verdana" w:eastAsia="Times New Roman" w:hAnsi="Verdana" w:cs="Arial"/>
                <w:bCs/>
                <w:sz w:val="20"/>
                <w:szCs w:val="20"/>
                <w:lang w:eastAsia="de-DE"/>
              </w:rPr>
              <w:t>m</w:t>
            </w:r>
            <w:r w:rsidR="00E32962" w:rsidRPr="003C0940">
              <w:rPr>
                <w:rFonts w:ascii="Verdana" w:eastAsia="Times New Roman" w:hAnsi="Verdana" w:cs="Arial"/>
                <w:bCs/>
                <w:sz w:val="20"/>
                <w:szCs w:val="20"/>
                <w:vertAlign w:val="superscript"/>
                <w:lang w:eastAsia="de-DE"/>
              </w:rPr>
              <w:t>2</w:t>
            </w:r>
            <w:r w:rsidR="00E32962" w:rsidRPr="003C0940">
              <w:rPr>
                <w:rFonts w:ascii="Verdana" w:eastAsia="Times New Roman" w:hAnsi="Verdana" w:cs="Arial"/>
                <w:bCs/>
                <w:sz w:val="20"/>
                <w:szCs w:val="20"/>
                <w:lang w:eastAsia="de-DE"/>
              </w:rPr>
              <w:t>)</w:t>
            </w:r>
            <w:r w:rsidR="008F4D8D" w:rsidRPr="003C0940">
              <w:rPr>
                <w:rFonts w:ascii="Verdana" w:eastAsia="Times New Roman" w:hAnsi="Verdana" w:cs="Arial"/>
                <w:bCs/>
                <w:sz w:val="20"/>
                <w:szCs w:val="20"/>
                <w:lang w:eastAsia="de-DE"/>
              </w:rPr>
              <w:t>.</w:t>
            </w:r>
          </w:p>
          <w:p w14:paraId="5520CAC1" w14:textId="77777777" w:rsidR="00F55CDB" w:rsidRPr="003C0940" w:rsidRDefault="00F55CDB" w:rsidP="006A1ECB">
            <w:pPr>
              <w:keepNext/>
              <w:snapToGrid w:val="0"/>
              <w:jc w:val="both"/>
              <w:rPr>
                <w:rFonts w:ascii="Verdana" w:eastAsia="Times New Roman" w:hAnsi="Verdana" w:cs="Arial"/>
                <w:bCs/>
                <w:sz w:val="20"/>
                <w:szCs w:val="20"/>
                <w:lang w:eastAsia="de-DE"/>
              </w:rPr>
            </w:pPr>
          </w:p>
          <w:p w14:paraId="26B0FC29" w14:textId="7378CD40" w:rsidR="00553B0D" w:rsidRPr="003C0940" w:rsidRDefault="006A1ECB" w:rsidP="00EC62F1">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 xml:space="preserve">Cena sakupljanja komunalnog otpada za pravna lica </w:t>
            </w:r>
            <w:r w:rsidR="009057AD" w:rsidRPr="003C0940">
              <w:rPr>
                <w:rFonts w:ascii="Verdana" w:eastAsia="Times New Roman" w:hAnsi="Verdana" w:cs="Arial"/>
                <w:bCs/>
                <w:sz w:val="20"/>
                <w:szCs w:val="20"/>
                <w:lang w:eastAsia="de-DE"/>
              </w:rPr>
              <w:t>od 3</w:t>
            </w:r>
            <w:r w:rsidR="00684480" w:rsidRPr="003C0940">
              <w:rPr>
                <w:rFonts w:ascii="Verdana" w:eastAsia="Times New Roman" w:hAnsi="Verdana" w:cs="Arial"/>
                <w:bCs/>
                <w:sz w:val="20"/>
                <w:szCs w:val="20"/>
                <w:lang w:eastAsia="de-DE"/>
              </w:rPr>
              <w:t>6</w:t>
            </w:r>
            <w:r w:rsidR="009057AD" w:rsidRPr="003C0940">
              <w:rPr>
                <w:rFonts w:ascii="Verdana" w:eastAsia="Times New Roman" w:hAnsi="Verdana" w:cs="Arial"/>
                <w:bCs/>
                <w:sz w:val="20"/>
                <w:szCs w:val="20"/>
                <w:lang w:eastAsia="de-DE"/>
              </w:rPr>
              <w:t>m</w:t>
            </w:r>
            <w:r w:rsidR="009057AD" w:rsidRPr="003C0940">
              <w:rPr>
                <w:rFonts w:ascii="Verdana" w:eastAsia="Times New Roman" w:hAnsi="Verdana" w:cs="Arial"/>
                <w:bCs/>
                <w:sz w:val="20"/>
                <w:szCs w:val="20"/>
                <w:vertAlign w:val="superscript"/>
                <w:lang w:eastAsia="de-DE"/>
              </w:rPr>
              <w:t>2</w:t>
            </w:r>
            <w:r w:rsidR="009057AD" w:rsidRPr="003C0940">
              <w:rPr>
                <w:rFonts w:ascii="Verdana" w:eastAsia="Times New Roman" w:hAnsi="Verdana" w:cs="Arial"/>
                <w:bCs/>
                <w:sz w:val="20"/>
                <w:szCs w:val="20"/>
                <w:lang w:eastAsia="de-DE"/>
              </w:rPr>
              <w:t xml:space="preserve"> </w:t>
            </w:r>
            <w:r w:rsidRPr="003C0940">
              <w:rPr>
                <w:rFonts w:ascii="Verdana" w:eastAsia="Times New Roman" w:hAnsi="Verdana" w:cs="Arial"/>
                <w:bCs/>
                <w:sz w:val="20"/>
                <w:szCs w:val="20"/>
                <w:lang w:eastAsia="de-DE"/>
              </w:rPr>
              <w:t>do 50m</w:t>
            </w:r>
            <w:r w:rsidRPr="003C0940">
              <w:rPr>
                <w:rFonts w:ascii="Verdana" w:eastAsia="Times New Roman" w:hAnsi="Verdana" w:cs="Arial"/>
                <w:bCs/>
                <w:sz w:val="20"/>
                <w:szCs w:val="20"/>
                <w:vertAlign w:val="superscript"/>
                <w:lang w:eastAsia="de-DE"/>
              </w:rPr>
              <w:t xml:space="preserve">2 </w:t>
            </w:r>
            <w:r w:rsidRPr="003C0940">
              <w:rPr>
                <w:rFonts w:ascii="Verdana" w:eastAsia="Times New Roman" w:hAnsi="Verdana" w:cs="Arial"/>
                <w:bCs/>
                <w:sz w:val="20"/>
                <w:szCs w:val="20"/>
                <w:lang w:eastAsia="de-DE"/>
              </w:rPr>
              <w:t>i zadruge,</w:t>
            </w:r>
            <w:r w:rsidR="00161AE8" w:rsidRPr="003C0940">
              <w:rPr>
                <w:rFonts w:ascii="Verdana" w:eastAsia="Times New Roman" w:hAnsi="Verdana" w:cs="Arial"/>
                <w:bCs/>
                <w:sz w:val="20"/>
                <w:szCs w:val="20"/>
                <w:lang w:eastAsia="de-DE"/>
              </w:rPr>
              <w:t xml:space="preserve"> preduzetnike,</w:t>
            </w:r>
            <w:r w:rsidRPr="003C0940">
              <w:rPr>
                <w:rFonts w:ascii="Verdana" w:eastAsia="Times New Roman" w:hAnsi="Verdana" w:cs="Arial"/>
                <w:bCs/>
                <w:sz w:val="20"/>
                <w:szCs w:val="20"/>
                <w:lang w:eastAsia="de-DE"/>
              </w:rPr>
              <w:t xml:space="preserve"> udruženja (paušal) </w:t>
            </w:r>
            <w:r w:rsidR="00E34D73" w:rsidRPr="003C0940">
              <w:rPr>
                <w:rFonts w:ascii="Verdana" w:eastAsia="Times New Roman" w:hAnsi="Verdana" w:cs="Arial"/>
                <w:bCs/>
                <w:sz w:val="20"/>
                <w:szCs w:val="20"/>
                <w:lang w:eastAsia="de-DE"/>
              </w:rPr>
              <w:t>iznosi</w:t>
            </w:r>
            <w:r w:rsidRPr="003C0940">
              <w:rPr>
                <w:rFonts w:ascii="Verdana" w:eastAsia="Times New Roman" w:hAnsi="Verdana" w:cs="Arial"/>
                <w:bCs/>
                <w:sz w:val="20"/>
                <w:szCs w:val="20"/>
                <w:lang w:eastAsia="de-DE"/>
              </w:rPr>
              <w:t xml:space="preserve"> </w:t>
            </w:r>
            <w:r w:rsidR="00EC62F1" w:rsidRPr="003C0940">
              <w:rPr>
                <w:rFonts w:ascii="Verdana" w:eastAsia="Times New Roman" w:hAnsi="Verdana" w:cs="Arial"/>
                <w:bCs/>
                <w:sz w:val="20"/>
                <w:szCs w:val="20"/>
                <w:lang w:eastAsia="de-DE"/>
              </w:rPr>
              <w:t>1.</w:t>
            </w:r>
            <w:r w:rsidR="0077092F" w:rsidRPr="003C0940">
              <w:rPr>
                <w:rFonts w:ascii="Verdana" w:eastAsia="Times New Roman" w:hAnsi="Verdana" w:cs="Arial"/>
                <w:bCs/>
                <w:sz w:val="20"/>
                <w:szCs w:val="20"/>
                <w:lang w:eastAsia="de-DE"/>
              </w:rPr>
              <w:t>842,02</w:t>
            </w:r>
            <w:r w:rsidR="00EC62F1" w:rsidRPr="003C0940">
              <w:rPr>
                <w:rFonts w:ascii="Verdana" w:eastAsia="Times New Roman" w:hAnsi="Verdana" w:cs="Arial"/>
                <w:bCs/>
                <w:sz w:val="20"/>
                <w:szCs w:val="20"/>
                <w:lang w:eastAsia="de-DE"/>
              </w:rPr>
              <w:t xml:space="preserve"> </w:t>
            </w:r>
            <w:r w:rsidR="008F3DD7" w:rsidRPr="003C0940">
              <w:rPr>
                <w:rFonts w:ascii="Verdana" w:eastAsia="Times New Roman" w:hAnsi="Verdana" w:cs="Arial"/>
                <w:bCs/>
                <w:sz w:val="20"/>
                <w:szCs w:val="20"/>
                <w:lang w:eastAsia="de-DE"/>
              </w:rPr>
              <w:t>rsd</w:t>
            </w:r>
            <w:r w:rsidR="00553B0D" w:rsidRPr="003C0940">
              <w:rPr>
                <w:rFonts w:ascii="Verdana" w:eastAsia="Times New Roman" w:hAnsi="Verdana" w:cs="Arial"/>
                <w:bCs/>
                <w:sz w:val="20"/>
                <w:szCs w:val="20"/>
                <w:lang w:eastAsia="de-DE"/>
              </w:rPr>
              <w:t xml:space="preserve"> plus pdv</w:t>
            </w:r>
            <w:r w:rsidRPr="003C0940">
              <w:rPr>
                <w:rFonts w:ascii="Verdana" w:eastAsia="Times New Roman" w:hAnsi="Verdana" w:cs="Arial"/>
                <w:bCs/>
                <w:sz w:val="20"/>
                <w:szCs w:val="20"/>
                <w:lang w:eastAsia="de-DE"/>
              </w:rPr>
              <w:t>.</w:t>
            </w:r>
          </w:p>
          <w:p w14:paraId="4893BC33" w14:textId="77777777" w:rsidR="006A1ECB" w:rsidRPr="003C0940" w:rsidRDefault="006A1ECB" w:rsidP="00EC62F1">
            <w:pPr>
              <w:keepNext/>
              <w:snapToGrid w:val="0"/>
              <w:jc w:val="both"/>
              <w:rPr>
                <w:rFonts w:ascii="Verdana" w:eastAsia="Times New Roman" w:hAnsi="Verdana" w:cs="Arial"/>
                <w:bCs/>
                <w:sz w:val="20"/>
                <w:szCs w:val="20"/>
                <w:lang w:eastAsia="de-DE"/>
              </w:rPr>
            </w:pPr>
          </w:p>
          <w:p w14:paraId="2FC3AD90" w14:textId="0C06D0C9" w:rsidR="00993582" w:rsidRPr="003C0940" w:rsidRDefault="006A1ECB"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Cena sakupljanja komunalnog otpada za pravna lica</w:t>
            </w:r>
            <w:r w:rsidR="00161AE8" w:rsidRPr="003C0940">
              <w:rPr>
                <w:rFonts w:ascii="Verdana" w:eastAsia="Times New Roman" w:hAnsi="Verdana" w:cs="Arial"/>
                <w:bCs/>
                <w:sz w:val="20"/>
                <w:szCs w:val="20"/>
                <w:lang w:eastAsia="de-DE"/>
              </w:rPr>
              <w:t xml:space="preserve"> i preduzetnike</w:t>
            </w:r>
            <w:r w:rsidRPr="003C0940">
              <w:rPr>
                <w:rFonts w:ascii="Verdana" w:eastAsia="Times New Roman" w:hAnsi="Verdana" w:cs="Arial"/>
                <w:bCs/>
                <w:sz w:val="20"/>
                <w:szCs w:val="20"/>
                <w:lang w:eastAsia="de-DE"/>
              </w:rPr>
              <w:t xml:space="preserve"> preko 50m</w:t>
            </w:r>
            <w:r w:rsidRPr="003C0940">
              <w:rPr>
                <w:rFonts w:ascii="Verdana" w:eastAsia="Times New Roman" w:hAnsi="Verdana" w:cs="Arial"/>
                <w:bCs/>
                <w:sz w:val="20"/>
                <w:szCs w:val="20"/>
                <w:vertAlign w:val="superscript"/>
                <w:lang w:eastAsia="de-DE"/>
              </w:rPr>
              <w:t xml:space="preserve">2 </w:t>
            </w:r>
            <w:r w:rsidRPr="003C0940">
              <w:rPr>
                <w:rFonts w:ascii="Verdana" w:eastAsia="Times New Roman" w:hAnsi="Verdana" w:cs="Arial"/>
                <w:bCs/>
                <w:sz w:val="20"/>
                <w:szCs w:val="20"/>
                <w:lang w:eastAsia="de-DE"/>
              </w:rPr>
              <w:t xml:space="preserve"> </w:t>
            </w:r>
            <w:r w:rsidR="00C63C43" w:rsidRPr="003C0940">
              <w:rPr>
                <w:rFonts w:ascii="Verdana" w:eastAsia="Times New Roman" w:hAnsi="Verdana" w:cs="Arial"/>
                <w:bCs/>
                <w:sz w:val="20"/>
                <w:szCs w:val="20"/>
                <w:lang w:eastAsia="de-DE"/>
              </w:rPr>
              <w:t>iznosi</w:t>
            </w:r>
            <w:r w:rsidRPr="003C0940">
              <w:rPr>
                <w:rFonts w:ascii="Verdana" w:eastAsia="Times New Roman" w:hAnsi="Verdana" w:cs="Arial"/>
                <w:bCs/>
                <w:sz w:val="20"/>
                <w:szCs w:val="20"/>
                <w:lang w:eastAsia="de-DE"/>
              </w:rPr>
              <w:t xml:space="preserve"> </w:t>
            </w:r>
            <w:r w:rsidR="0077092F" w:rsidRPr="003C0940">
              <w:rPr>
                <w:rFonts w:ascii="Verdana" w:eastAsia="Times New Roman" w:hAnsi="Verdana" w:cs="Arial"/>
                <w:bCs/>
                <w:sz w:val="20"/>
                <w:szCs w:val="20"/>
                <w:lang w:eastAsia="de-DE"/>
              </w:rPr>
              <w:t>43,24</w:t>
            </w:r>
            <w:r w:rsidRPr="003C0940">
              <w:rPr>
                <w:rFonts w:ascii="Verdana" w:eastAsia="Times New Roman" w:hAnsi="Verdana" w:cs="Arial"/>
                <w:bCs/>
                <w:sz w:val="20"/>
                <w:szCs w:val="20"/>
                <w:lang w:eastAsia="de-DE"/>
              </w:rPr>
              <w:t xml:space="preserve"> rsd po metru kvadratnom, plus </w:t>
            </w:r>
            <w:r w:rsidR="00354826" w:rsidRPr="003C0940">
              <w:rPr>
                <w:rFonts w:ascii="Verdana" w:eastAsia="Times New Roman" w:hAnsi="Verdana" w:cs="Arial"/>
                <w:bCs/>
                <w:sz w:val="20"/>
                <w:szCs w:val="20"/>
                <w:lang w:eastAsia="de-DE"/>
              </w:rPr>
              <w:t xml:space="preserve">pdv. </w:t>
            </w:r>
          </w:p>
          <w:p w14:paraId="72502E90" w14:textId="77777777" w:rsidR="008C1B67" w:rsidRPr="003C0940" w:rsidRDefault="008C1B67" w:rsidP="006A1ECB">
            <w:pPr>
              <w:keepNext/>
              <w:snapToGrid w:val="0"/>
              <w:jc w:val="both"/>
              <w:rPr>
                <w:rFonts w:ascii="Verdana" w:eastAsia="Times New Roman" w:hAnsi="Verdana" w:cs="Arial"/>
                <w:bCs/>
                <w:sz w:val="20"/>
                <w:szCs w:val="20"/>
                <w:lang w:eastAsia="de-DE"/>
              </w:rPr>
            </w:pPr>
          </w:p>
          <w:p w14:paraId="205FF5AC" w14:textId="782376C4" w:rsidR="008C1B67" w:rsidRPr="003C0940" w:rsidRDefault="008C1B67" w:rsidP="008C1B67">
            <w:pPr>
              <w:keepNext/>
              <w:snapToGrid w:val="0"/>
              <w:jc w:val="both"/>
              <w:rPr>
                <w:rFonts w:ascii="Verdana" w:eastAsia="Times New Roman" w:hAnsi="Verdana" w:cs="Arial"/>
                <w:bCs/>
                <w:sz w:val="20"/>
                <w:szCs w:val="20"/>
                <w:lang w:eastAsia="de-DE"/>
              </w:rPr>
            </w:pPr>
            <w:r w:rsidRPr="003C0940">
              <w:rPr>
                <w:rFonts w:ascii="Verdana" w:eastAsia="Times New Roman" w:hAnsi="Verdana" w:cs="Arial"/>
                <w:sz w:val="20"/>
                <w:szCs w:val="20"/>
                <w:lang w:eastAsia="de-DE"/>
              </w:rPr>
              <w:t>Popust od 75%</w:t>
            </w:r>
            <w:r w:rsidRPr="003C0940">
              <w:rPr>
                <w:rFonts w:ascii="Verdana" w:eastAsia="Times New Roman" w:hAnsi="Verdana" w:cs="Arial"/>
                <w:b/>
                <w:bCs/>
                <w:sz w:val="20"/>
                <w:szCs w:val="20"/>
                <w:lang w:eastAsia="de-DE"/>
              </w:rPr>
              <w:t> </w:t>
            </w:r>
            <w:r w:rsidRPr="003C0940">
              <w:rPr>
                <w:rFonts w:ascii="Verdana" w:eastAsia="Times New Roman" w:hAnsi="Verdana" w:cs="Arial"/>
                <w:bCs/>
                <w:sz w:val="20"/>
                <w:szCs w:val="20"/>
                <w:lang w:eastAsia="de-DE"/>
              </w:rPr>
              <w:t>na paušalnu cenu (</w:t>
            </w:r>
            <w:r w:rsidRPr="003C0940">
              <w:rPr>
                <w:rFonts w:ascii="Verdana" w:eastAsia="Times New Roman" w:hAnsi="Verdana" w:cs="Arial"/>
                <w:b/>
                <w:sz w:val="20"/>
                <w:szCs w:val="20"/>
                <w:lang w:eastAsia="de-DE"/>
              </w:rPr>
              <w:t>od 3</w:t>
            </w:r>
            <w:r w:rsidR="00E30D8B" w:rsidRPr="003C0940">
              <w:rPr>
                <w:rFonts w:ascii="Verdana" w:eastAsia="Times New Roman" w:hAnsi="Verdana" w:cs="Arial"/>
                <w:b/>
                <w:sz w:val="20"/>
                <w:szCs w:val="20"/>
                <w:lang w:eastAsia="de-DE"/>
              </w:rPr>
              <w:t>6m2 do 50m2</w:t>
            </w:r>
            <w:r w:rsidR="00E30D8B" w:rsidRPr="003C0940">
              <w:rPr>
                <w:rFonts w:ascii="Verdana" w:eastAsia="Times New Roman" w:hAnsi="Verdana" w:cs="Arial"/>
                <w:bCs/>
                <w:sz w:val="20"/>
                <w:szCs w:val="20"/>
                <w:lang w:eastAsia="de-DE"/>
              </w:rPr>
              <w:t>)</w:t>
            </w:r>
            <w:r w:rsidRPr="003C0940">
              <w:rPr>
                <w:rFonts w:ascii="Verdana" w:eastAsia="Times New Roman" w:hAnsi="Verdana" w:cs="Arial"/>
                <w:bCs/>
                <w:sz w:val="20"/>
                <w:szCs w:val="20"/>
                <w:lang w:eastAsia="de-DE"/>
              </w:rPr>
              <w:t xml:space="preserve"> ili obračunatu cenu po m2</w:t>
            </w:r>
            <w:r w:rsidR="00E30D8B" w:rsidRPr="003C0940">
              <w:rPr>
                <w:rFonts w:ascii="Verdana" w:eastAsia="Times New Roman" w:hAnsi="Verdana" w:cs="Arial"/>
                <w:bCs/>
                <w:sz w:val="20"/>
                <w:szCs w:val="20"/>
                <w:lang w:val="sr-Cyrl-RS" w:eastAsia="de-DE"/>
              </w:rPr>
              <w:t xml:space="preserve"> </w:t>
            </w:r>
            <w:r w:rsidR="00327A59" w:rsidRPr="003C0940">
              <w:rPr>
                <w:rFonts w:ascii="Verdana" w:eastAsia="Times New Roman" w:hAnsi="Verdana" w:cs="Arial"/>
                <w:bCs/>
                <w:sz w:val="20"/>
                <w:szCs w:val="20"/>
                <w:lang w:eastAsia="de-DE"/>
              </w:rPr>
              <w:t>(</w:t>
            </w:r>
            <w:r w:rsidR="00327A59" w:rsidRPr="003C0940">
              <w:rPr>
                <w:rFonts w:ascii="Verdana" w:eastAsia="Times New Roman" w:hAnsi="Verdana" w:cs="Arial"/>
                <w:b/>
                <w:sz w:val="20"/>
                <w:szCs w:val="20"/>
                <w:lang w:eastAsia="de-DE"/>
              </w:rPr>
              <w:t>preko 50m2</w:t>
            </w:r>
            <w:r w:rsidR="00327A59" w:rsidRPr="003C0940">
              <w:rPr>
                <w:rFonts w:ascii="Verdana" w:eastAsia="Times New Roman" w:hAnsi="Verdana" w:cs="Arial"/>
                <w:bCs/>
                <w:sz w:val="20"/>
                <w:szCs w:val="20"/>
                <w:lang w:eastAsia="de-DE"/>
              </w:rPr>
              <w:t>)</w:t>
            </w:r>
            <w:r w:rsidRPr="003C0940">
              <w:rPr>
                <w:rFonts w:ascii="Verdana" w:eastAsia="Times New Roman" w:hAnsi="Verdana" w:cs="Arial"/>
                <w:bCs/>
                <w:sz w:val="20"/>
                <w:szCs w:val="20"/>
                <w:lang w:eastAsia="de-DE"/>
              </w:rPr>
              <w:t xml:space="preserve"> koji važi za preduzetnike koji registrovanu delatnost obavljaju</w:t>
            </w:r>
            <w:r w:rsidR="00684480" w:rsidRPr="003C0940">
              <w:rPr>
                <w:rFonts w:ascii="Verdana" w:eastAsia="Times New Roman" w:hAnsi="Verdana" w:cs="Arial"/>
                <w:bCs/>
                <w:sz w:val="20"/>
                <w:szCs w:val="20"/>
                <w:lang w:eastAsia="de-DE"/>
              </w:rPr>
              <w:t xml:space="preserve"> na adresi prebivališta</w:t>
            </w:r>
            <w:r w:rsidRPr="003C0940">
              <w:rPr>
                <w:rFonts w:ascii="Verdana" w:eastAsia="Times New Roman" w:hAnsi="Verdana" w:cs="Arial"/>
                <w:bCs/>
                <w:sz w:val="20"/>
                <w:szCs w:val="20"/>
                <w:lang w:eastAsia="de-DE"/>
              </w:rPr>
              <w:t xml:space="preserve"> u okviru stambenog prost</w:t>
            </w:r>
            <w:r w:rsidR="00684480" w:rsidRPr="003C0940">
              <w:rPr>
                <w:rFonts w:ascii="Verdana" w:eastAsia="Times New Roman" w:hAnsi="Verdana" w:cs="Arial"/>
                <w:bCs/>
                <w:sz w:val="20"/>
                <w:szCs w:val="20"/>
                <w:lang w:eastAsia="de-DE"/>
              </w:rPr>
              <w:t xml:space="preserve">ora, </w:t>
            </w:r>
            <w:r w:rsidR="007B0782" w:rsidRPr="003C0940">
              <w:rPr>
                <w:rFonts w:ascii="Verdana" w:eastAsia="Times New Roman" w:hAnsi="Verdana" w:cs="Arial"/>
                <w:bCs/>
                <w:sz w:val="20"/>
                <w:szCs w:val="20"/>
                <w:lang w:eastAsia="de-DE"/>
              </w:rPr>
              <w:t xml:space="preserve">bez </w:t>
            </w:r>
            <w:r w:rsidR="004C23A3" w:rsidRPr="003C0940">
              <w:rPr>
                <w:rFonts w:ascii="Verdana" w:eastAsia="Times New Roman" w:hAnsi="Verdana" w:cs="Arial"/>
                <w:bCs/>
                <w:sz w:val="20"/>
                <w:szCs w:val="20"/>
                <w:lang w:eastAsia="de-DE"/>
              </w:rPr>
              <w:t xml:space="preserve">izdvojenog </w:t>
            </w:r>
            <w:r w:rsidR="007B0782" w:rsidRPr="003C0940">
              <w:rPr>
                <w:rFonts w:ascii="Verdana" w:eastAsia="Times New Roman" w:hAnsi="Verdana" w:cs="Arial"/>
                <w:bCs/>
                <w:sz w:val="20"/>
                <w:szCs w:val="20"/>
                <w:lang w:eastAsia="de-DE"/>
              </w:rPr>
              <w:t>poslovnog prostora</w:t>
            </w:r>
            <w:r w:rsidRPr="003C0940">
              <w:rPr>
                <w:rFonts w:ascii="Verdana" w:eastAsia="Times New Roman" w:hAnsi="Verdana" w:cs="Arial"/>
                <w:bCs/>
                <w:sz w:val="20"/>
                <w:szCs w:val="20"/>
                <w:lang w:eastAsia="de-DE"/>
              </w:rPr>
              <w:t xml:space="preserve"> biće odobren pod uslovom da dostave sledeću dokumentaciju:</w:t>
            </w:r>
          </w:p>
          <w:p w14:paraId="1C609650" w14:textId="77777777" w:rsidR="008C1B67" w:rsidRPr="003C0940" w:rsidRDefault="008C1B67" w:rsidP="008C1B67">
            <w:pPr>
              <w:keepNext/>
              <w:numPr>
                <w:ilvl w:val="0"/>
                <w:numId w:val="3"/>
              </w:numPr>
              <w:snapToGrid w:val="0"/>
              <w:jc w:val="both"/>
              <w:rPr>
                <w:rFonts w:ascii="Verdana" w:eastAsia="Times New Roman" w:hAnsi="Verdana" w:cs="Arial"/>
                <w:bCs/>
                <w:sz w:val="20"/>
                <w:szCs w:val="20"/>
                <w:lang w:val="it-IT" w:eastAsia="de-DE"/>
              </w:rPr>
            </w:pPr>
            <w:r w:rsidRPr="003C0940">
              <w:rPr>
                <w:rFonts w:ascii="Verdana" w:eastAsia="Times New Roman" w:hAnsi="Verdana" w:cs="Arial"/>
                <w:bCs/>
                <w:sz w:val="20"/>
                <w:szCs w:val="20"/>
                <w:lang w:val="it-IT" w:eastAsia="de-DE"/>
              </w:rPr>
              <w:t>Rešenje o adresi sedišta iz APR-a;</w:t>
            </w:r>
          </w:p>
          <w:p w14:paraId="407331D6" w14:textId="77777777" w:rsidR="008C1B67" w:rsidRPr="003C0940" w:rsidRDefault="008C1B67" w:rsidP="008C1B67">
            <w:pPr>
              <w:keepNext/>
              <w:numPr>
                <w:ilvl w:val="0"/>
                <w:numId w:val="3"/>
              </w:numPr>
              <w:snapToGrid w:val="0"/>
              <w:jc w:val="both"/>
              <w:rPr>
                <w:rFonts w:ascii="Verdana" w:eastAsia="Times New Roman" w:hAnsi="Verdana" w:cs="Arial"/>
                <w:bCs/>
                <w:sz w:val="20"/>
                <w:szCs w:val="20"/>
                <w:lang w:val="nl-NL" w:eastAsia="de-DE"/>
              </w:rPr>
            </w:pPr>
            <w:r w:rsidRPr="003C0940">
              <w:rPr>
                <w:rFonts w:ascii="Verdana" w:eastAsia="Times New Roman" w:hAnsi="Verdana" w:cs="Arial"/>
                <w:bCs/>
                <w:sz w:val="20"/>
                <w:szCs w:val="20"/>
                <w:lang w:val="nl-NL" w:eastAsia="de-DE"/>
              </w:rPr>
              <w:t>Izvod iz očitane lične karte;</w:t>
            </w:r>
          </w:p>
          <w:p w14:paraId="1E4BB01E" w14:textId="77777777" w:rsidR="008C1B67" w:rsidRPr="003C0940" w:rsidRDefault="008C1B67" w:rsidP="008C1B67">
            <w:pPr>
              <w:keepNext/>
              <w:numPr>
                <w:ilvl w:val="0"/>
                <w:numId w:val="3"/>
              </w:numPr>
              <w:snapToGrid w:val="0"/>
              <w:jc w:val="both"/>
              <w:rPr>
                <w:rFonts w:ascii="Verdana" w:eastAsia="Times New Roman" w:hAnsi="Verdana" w:cs="Arial"/>
                <w:bCs/>
                <w:sz w:val="20"/>
                <w:szCs w:val="20"/>
                <w:lang w:val="nl-NL" w:eastAsia="de-DE"/>
              </w:rPr>
            </w:pPr>
            <w:r w:rsidRPr="003C0940">
              <w:rPr>
                <w:rFonts w:ascii="Verdana" w:eastAsia="Times New Roman" w:hAnsi="Verdana" w:cs="Arial"/>
                <w:bCs/>
                <w:sz w:val="20"/>
                <w:szCs w:val="20"/>
                <w:lang w:val="nl-NL" w:eastAsia="de-DE"/>
              </w:rPr>
              <w:lastRenderedPageBreak/>
              <w:t>Rešenje ili uverenja Katastra nepokretnosti o površini objekta ili poresko rešenje;</w:t>
            </w:r>
          </w:p>
          <w:p w14:paraId="58B02C6A" w14:textId="77777777" w:rsidR="008C1B67" w:rsidRPr="003C0940" w:rsidRDefault="008C1B67" w:rsidP="008C1B67">
            <w:pPr>
              <w:keepNext/>
              <w:numPr>
                <w:ilvl w:val="0"/>
                <w:numId w:val="3"/>
              </w:numPr>
              <w:snapToGrid w:val="0"/>
              <w:jc w:val="both"/>
              <w:rPr>
                <w:rFonts w:ascii="Verdana" w:eastAsia="Times New Roman" w:hAnsi="Verdana" w:cs="Arial"/>
                <w:bCs/>
                <w:sz w:val="20"/>
                <w:szCs w:val="20"/>
                <w:lang w:val="nl-NL" w:eastAsia="de-DE"/>
              </w:rPr>
            </w:pPr>
            <w:r w:rsidRPr="003C0940">
              <w:rPr>
                <w:rFonts w:ascii="Verdana" w:eastAsia="Times New Roman" w:hAnsi="Verdana" w:cs="Arial"/>
                <w:bCs/>
                <w:sz w:val="20"/>
                <w:szCs w:val="20"/>
                <w:lang w:val="nl-NL" w:eastAsia="de-DE"/>
              </w:rPr>
              <w:t>Poslednji plaćeni račun za komunalne usluge sakupljanja otpada kao fizičko lice.</w:t>
            </w:r>
          </w:p>
          <w:p w14:paraId="4B5DF7A1" w14:textId="77777777" w:rsidR="00993582" w:rsidRPr="003C0940" w:rsidRDefault="00993582" w:rsidP="006A1ECB">
            <w:pPr>
              <w:keepNext/>
              <w:snapToGrid w:val="0"/>
              <w:jc w:val="both"/>
              <w:rPr>
                <w:rFonts w:ascii="Verdana" w:eastAsia="Times New Roman" w:hAnsi="Verdana" w:cs="Arial"/>
                <w:bCs/>
                <w:sz w:val="20"/>
                <w:szCs w:val="20"/>
                <w:lang w:eastAsia="de-DE"/>
              </w:rPr>
            </w:pPr>
          </w:p>
          <w:p w14:paraId="71363C02" w14:textId="6371A796" w:rsidR="006A1ECB" w:rsidRPr="003C0940" w:rsidRDefault="007A645B"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G</w:t>
            </w:r>
            <w:r w:rsidR="006A1ECB" w:rsidRPr="003C0940">
              <w:rPr>
                <w:rFonts w:ascii="Verdana" w:eastAsia="Times New Roman" w:hAnsi="Verdana" w:cs="Arial"/>
                <w:bCs/>
                <w:sz w:val="20"/>
                <w:szCs w:val="20"/>
                <w:lang w:eastAsia="de-DE"/>
              </w:rPr>
              <w:t>ore navedeni utvrđeni dinarski iznosi usaglaš</w:t>
            </w:r>
            <w:r w:rsidR="00C267EA" w:rsidRPr="003C0940">
              <w:rPr>
                <w:rFonts w:ascii="Verdana" w:eastAsia="Times New Roman" w:hAnsi="Verdana" w:cs="Arial"/>
                <w:bCs/>
                <w:sz w:val="20"/>
                <w:szCs w:val="20"/>
                <w:lang w:eastAsia="de-DE"/>
              </w:rPr>
              <w:t xml:space="preserve">eni su i utvrđeni </w:t>
            </w:r>
            <w:r w:rsidR="006A1ECB" w:rsidRPr="003C0940">
              <w:rPr>
                <w:rFonts w:ascii="Verdana" w:eastAsia="Times New Roman" w:hAnsi="Verdana" w:cs="Arial"/>
                <w:bCs/>
                <w:sz w:val="20"/>
                <w:szCs w:val="20"/>
                <w:lang w:eastAsia="de-DE"/>
              </w:rPr>
              <w:t>primenom stope realne inflacije koju objavljuje Zavod za statistiku Republike Srbije</w:t>
            </w:r>
            <w:r w:rsidR="00C267EA" w:rsidRPr="003C0940">
              <w:rPr>
                <w:rFonts w:ascii="Verdana" w:eastAsia="Times New Roman" w:hAnsi="Verdana" w:cs="Arial"/>
                <w:bCs/>
                <w:sz w:val="20"/>
                <w:szCs w:val="20"/>
                <w:lang w:eastAsia="de-DE"/>
              </w:rPr>
              <w:t>.</w:t>
            </w:r>
            <w:r w:rsidR="0034380C" w:rsidRPr="003C0940">
              <w:rPr>
                <w:rFonts w:ascii="Verdana" w:eastAsia="Times New Roman" w:hAnsi="Verdana" w:cs="Arial"/>
                <w:bCs/>
                <w:sz w:val="20"/>
                <w:szCs w:val="20"/>
                <w:lang w:eastAsia="de-DE"/>
              </w:rPr>
              <w:t xml:space="preserve"> Sastavni deo ovog Ugovora je Cenovnik čije su cene uvećane primenom stope realne inflacije i to promena cena u septembru, oktobru, novembru i decembru 2023. godine u procentima je 1,2%, decembru 2024. godine u odnosu na decembar 2023. godine u procentima je 4,3%, i inflacija za prvi i drugi kvartal u 2025. godini u procentima je 2,6%, što ukupno iznosi 8,1%.</w:t>
            </w:r>
          </w:p>
          <w:p w14:paraId="0C9C5A5A" w14:textId="77777777" w:rsidR="00635575" w:rsidRPr="003C0940" w:rsidRDefault="00635575" w:rsidP="006A1ECB">
            <w:pPr>
              <w:keepNext/>
              <w:snapToGrid w:val="0"/>
              <w:jc w:val="both"/>
              <w:rPr>
                <w:rFonts w:ascii="Verdana" w:eastAsia="Times New Roman" w:hAnsi="Verdana" w:cs="Arial"/>
                <w:bCs/>
                <w:sz w:val="20"/>
                <w:szCs w:val="20"/>
                <w:lang w:eastAsia="de-DE"/>
              </w:rPr>
            </w:pPr>
          </w:p>
          <w:p w14:paraId="126DBB12" w14:textId="2F5A956C" w:rsidR="006A1ECB" w:rsidRPr="003C0940" w:rsidRDefault="007A645B"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1.2.</w:t>
            </w:r>
            <w:r w:rsidRPr="003C0940">
              <w:rPr>
                <w:rFonts w:ascii="Verdana" w:eastAsia="Times New Roman" w:hAnsi="Verdana" w:cs="Arial"/>
                <w:bCs/>
                <w:sz w:val="20"/>
                <w:szCs w:val="20"/>
                <w:lang w:eastAsia="de-DE"/>
              </w:rPr>
              <w:t xml:space="preserve"> </w:t>
            </w:r>
            <w:r w:rsidR="006A1ECB" w:rsidRPr="003C0940">
              <w:rPr>
                <w:rFonts w:ascii="Verdana" w:eastAsia="Times New Roman" w:hAnsi="Verdana" w:cs="Arial"/>
                <w:bCs/>
                <w:sz w:val="20"/>
                <w:szCs w:val="20"/>
                <w:lang w:eastAsia="de-DE"/>
              </w:rPr>
              <w:t xml:space="preserve">Pored Redovnih usluga, Operater u Cenovniku </w:t>
            </w:r>
            <w:r w:rsidR="001963AF" w:rsidRPr="003C0940">
              <w:rPr>
                <w:rFonts w:ascii="Verdana" w:eastAsia="Times New Roman" w:hAnsi="Verdana" w:cs="Arial"/>
                <w:bCs/>
                <w:sz w:val="20"/>
                <w:szCs w:val="20"/>
                <w:lang w:eastAsia="de-DE"/>
              </w:rPr>
              <w:t>(</w:t>
            </w:r>
            <w:r w:rsidR="001963AF" w:rsidRPr="003C0940">
              <w:rPr>
                <w:rFonts w:ascii="Verdana" w:eastAsia="Times New Roman" w:hAnsi="Verdana" w:cs="Arial"/>
                <w:b/>
                <w:sz w:val="20"/>
                <w:szCs w:val="20"/>
                <w:lang w:eastAsia="de-DE"/>
              </w:rPr>
              <w:t xml:space="preserve">Prilog 2 Aneksa </w:t>
            </w:r>
            <w:r w:rsidR="00635575" w:rsidRPr="003C0940">
              <w:rPr>
                <w:rFonts w:ascii="Verdana" w:eastAsia="Times New Roman" w:hAnsi="Verdana" w:cs="Arial"/>
                <w:b/>
                <w:sz w:val="20"/>
                <w:szCs w:val="20"/>
                <w:lang w:eastAsia="de-DE"/>
              </w:rPr>
              <w:t>3</w:t>
            </w:r>
            <w:r w:rsidR="001963AF" w:rsidRPr="003C0940">
              <w:rPr>
                <w:rFonts w:ascii="Verdana" w:eastAsia="Times New Roman" w:hAnsi="Verdana" w:cs="Arial"/>
                <w:b/>
                <w:sz w:val="20"/>
                <w:szCs w:val="20"/>
                <w:lang w:eastAsia="de-DE"/>
              </w:rPr>
              <w:t xml:space="preserve"> Ugovora</w:t>
            </w:r>
            <w:r w:rsidR="001963AF" w:rsidRPr="003C0940">
              <w:rPr>
                <w:rFonts w:ascii="Verdana" w:eastAsia="Times New Roman" w:hAnsi="Verdana" w:cs="Arial"/>
                <w:bCs/>
                <w:sz w:val="20"/>
                <w:szCs w:val="20"/>
                <w:lang w:eastAsia="de-DE"/>
              </w:rPr>
              <w:t xml:space="preserve">) </w:t>
            </w:r>
            <w:r w:rsidR="006A1ECB" w:rsidRPr="003C0940">
              <w:rPr>
                <w:rFonts w:ascii="Verdana" w:eastAsia="Times New Roman" w:hAnsi="Verdana" w:cs="Arial"/>
                <w:bCs/>
                <w:sz w:val="20"/>
                <w:szCs w:val="20"/>
                <w:lang w:eastAsia="de-DE"/>
              </w:rPr>
              <w:t xml:space="preserve">dostavlja Strukturu novih cena pružanja komunalnih usluga na teritoriji opštine Lapovo za </w:t>
            </w:r>
            <w:r w:rsidR="002E4B1C" w:rsidRPr="003C0940">
              <w:rPr>
                <w:rFonts w:ascii="Verdana" w:eastAsia="Times New Roman" w:hAnsi="Verdana" w:cs="Arial"/>
                <w:bCs/>
                <w:sz w:val="20"/>
                <w:szCs w:val="20"/>
                <w:lang w:eastAsia="de-DE"/>
              </w:rPr>
              <w:t>d</w:t>
            </w:r>
            <w:r w:rsidR="006A1ECB" w:rsidRPr="003C0940">
              <w:rPr>
                <w:rFonts w:ascii="Verdana" w:eastAsia="Times New Roman" w:hAnsi="Verdana" w:cs="Arial"/>
                <w:bCs/>
                <w:sz w:val="20"/>
                <w:szCs w:val="20"/>
                <w:lang w:eastAsia="de-DE"/>
              </w:rPr>
              <w:t>odatne usluge – pojedinačno ugovorene usluge sa pravnim licima.</w:t>
            </w:r>
          </w:p>
          <w:p w14:paraId="16AE5EAF" w14:textId="77777777" w:rsidR="006A1ECB" w:rsidRPr="003C0940" w:rsidRDefault="006A1ECB" w:rsidP="006A1ECB">
            <w:pPr>
              <w:keepNext/>
              <w:snapToGrid w:val="0"/>
              <w:jc w:val="both"/>
              <w:rPr>
                <w:rFonts w:ascii="Verdana" w:eastAsia="Times New Roman" w:hAnsi="Verdana" w:cs="Arial"/>
                <w:bCs/>
                <w:sz w:val="20"/>
                <w:szCs w:val="20"/>
                <w:lang w:eastAsia="de-DE"/>
              </w:rPr>
            </w:pPr>
          </w:p>
          <w:p w14:paraId="3A731B71" w14:textId="5E071340" w:rsidR="006A1ECB" w:rsidRPr="003C0940" w:rsidRDefault="007A645B"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1.3.</w:t>
            </w:r>
            <w:r w:rsidRPr="003C0940">
              <w:rPr>
                <w:rFonts w:ascii="Verdana" w:eastAsia="Times New Roman" w:hAnsi="Verdana" w:cs="Arial"/>
                <w:bCs/>
                <w:sz w:val="20"/>
                <w:szCs w:val="20"/>
                <w:lang w:eastAsia="de-DE"/>
              </w:rPr>
              <w:t xml:space="preserve"> </w:t>
            </w:r>
            <w:r w:rsidR="006A1ECB" w:rsidRPr="003C0940">
              <w:rPr>
                <w:rFonts w:ascii="Verdana" w:eastAsia="Times New Roman" w:hAnsi="Verdana" w:cs="Arial"/>
                <w:bCs/>
                <w:sz w:val="20"/>
                <w:szCs w:val="20"/>
                <w:lang w:eastAsia="de-DE"/>
              </w:rPr>
              <w:t>Pored toga, Operater ima pravo i obavezu da koriguje cenu u slučaju izmena važeće Zakonske regulative i drugih podzakonskih akata, raspoloživosti i primeni novih tehnologija u sektoru postupanja sa otpadom, novih poreza ili taksi, bilo koje druge obaveze nametnute Operateru komunalno-sanitarne deponije ili bilo kakve investicije obavezne za rad, a koje mogu rezultirati ozbiljnom izmenom troškova Operatera, pod uslovom da Operater može pokazati da ne može da pokrije svoje troškove naplatom utvrđene cene, pod uslovom da se time ne krše imperativne zakonske odredbe.</w:t>
            </w:r>
          </w:p>
          <w:p w14:paraId="7E8ED34F" w14:textId="77777777" w:rsidR="002E208A" w:rsidRPr="003C0940" w:rsidRDefault="002E208A" w:rsidP="006A1ECB">
            <w:pPr>
              <w:keepNext/>
              <w:snapToGrid w:val="0"/>
              <w:jc w:val="both"/>
              <w:rPr>
                <w:rFonts w:ascii="Verdana" w:eastAsia="Times New Roman" w:hAnsi="Verdana" w:cs="Arial"/>
                <w:bCs/>
                <w:sz w:val="20"/>
                <w:szCs w:val="20"/>
                <w:lang w:eastAsia="de-DE"/>
              </w:rPr>
            </w:pPr>
          </w:p>
          <w:p w14:paraId="65C06ED5" w14:textId="302AEE72" w:rsidR="006A1ECB" w:rsidRPr="003C0940" w:rsidRDefault="007A645B"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 xml:space="preserve">1.4. </w:t>
            </w:r>
            <w:r w:rsidR="006A1ECB" w:rsidRPr="003C0940">
              <w:rPr>
                <w:rFonts w:ascii="Verdana" w:eastAsia="Times New Roman" w:hAnsi="Verdana" w:cs="Arial"/>
                <w:bCs/>
                <w:sz w:val="20"/>
                <w:szCs w:val="20"/>
                <w:lang w:eastAsia="de-DE"/>
              </w:rPr>
              <w:t xml:space="preserve">Ugovorne strane su saglasne da naknadu navedenu u </w:t>
            </w:r>
            <w:r w:rsidRPr="003C0940">
              <w:rPr>
                <w:rFonts w:ascii="Verdana" w:eastAsia="Times New Roman" w:hAnsi="Verdana" w:cs="Arial"/>
                <w:bCs/>
                <w:sz w:val="20"/>
                <w:szCs w:val="20"/>
                <w:lang w:eastAsia="de-DE"/>
              </w:rPr>
              <w:t>stavu</w:t>
            </w:r>
            <w:r w:rsidR="006A1ECB" w:rsidRPr="003C0940">
              <w:rPr>
                <w:rFonts w:ascii="Verdana" w:eastAsia="Times New Roman" w:hAnsi="Verdana" w:cs="Arial"/>
                <w:bCs/>
                <w:sz w:val="20"/>
                <w:szCs w:val="20"/>
                <w:lang w:eastAsia="de-DE"/>
              </w:rPr>
              <w:t xml:space="preserve"> </w:t>
            </w:r>
            <w:r w:rsidR="00B807B0" w:rsidRPr="003C0940">
              <w:rPr>
                <w:rFonts w:ascii="Verdana" w:eastAsia="Times New Roman" w:hAnsi="Verdana" w:cs="Arial"/>
                <w:bCs/>
                <w:sz w:val="20"/>
                <w:szCs w:val="20"/>
                <w:lang w:eastAsia="de-DE"/>
              </w:rPr>
              <w:t>1</w:t>
            </w:r>
            <w:r w:rsidR="006A1ECB" w:rsidRPr="003C0940">
              <w:rPr>
                <w:rFonts w:ascii="Verdana" w:eastAsia="Times New Roman" w:hAnsi="Verdana" w:cs="Arial"/>
                <w:bCs/>
                <w:sz w:val="20"/>
                <w:szCs w:val="20"/>
                <w:lang w:eastAsia="de-DE"/>
              </w:rPr>
              <w:t xml:space="preserve">.1. ovog </w:t>
            </w:r>
            <w:r w:rsidR="00472F6A" w:rsidRPr="003C0940">
              <w:rPr>
                <w:rFonts w:ascii="Verdana" w:eastAsia="Times New Roman" w:hAnsi="Verdana" w:cs="Arial"/>
                <w:bCs/>
                <w:sz w:val="20"/>
                <w:szCs w:val="20"/>
                <w:lang w:eastAsia="de-DE"/>
              </w:rPr>
              <w:t>Aneksa 3</w:t>
            </w:r>
            <w:r w:rsidR="006A1ECB" w:rsidRPr="003C0940">
              <w:rPr>
                <w:rFonts w:ascii="Verdana" w:eastAsia="Times New Roman" w:hAnsi="Verdana" w:cs="Arial"/>
                <w:bCs/>
                <w:sz w:val="20"/>
                <w:szCs w:val="20"/>
                <w:lang w:eastAsia="de-DE"/>
              </w:rPr>
              <w:t>, Operater može jednostrano izmeniti ukoliko promena zakonske regulative (direktno ili indirektno) uveća troškove usluga koje Operater pruža.</w:t>
            </w:r>
          </w:p>
          <w:p w14:paraId="5458FC9B" w14:textId="77777777" w:rsidR="008D6FB7" w:rsidRPr="003C0940" w:rsidRDefault="008D6FB7" w:rsidP="006A1ECB">
            <w:pPr>
              <w:keepNext/>
              <w:snapToGrid w:val="0"/>
              <w:jc w:val="both"/>
              <w:rPr>
                <w:rFonts w:ascii="Verdana" w:eastAsia="Times New Roman" w:hAnsi="Verdana" w:cs="Arial"/>
                <w:bCs/>
                <w:sz w:val="20"/>
                <w:szCs w:val="20"/>
                <w:lang w:eastAsia="de-DE"/>
              </w:rPr>
            </w:pPr>
          </w:p>
          <w:p w14:paraId="5A88DA35" w14:textId="4A4F151C" w:rsidR="00927248" w:rsidRPr="003C0940" w:rsidRDefault="007A645B"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1.5.</w:t>
            </w:r>
            <w:r w:rsidR="00927248" w:rsidRPr="003C0940">
              <w:rPr>
                <w:rFonts w:ascii="Verdana" w:eastAsia="Times New Roman" w:hAnsi="Verdana" w:cs="Arial"/>
                <w:bCs/>
                <w:sz w:val="20"/>
                <w:szCs w:val="20"/>
                <w:lang w:eastAsia="de-DE"/>
              </w:rPr>
              <w:t xml:space="preserve"> Klijent ovim Ugovorom daje saglasnost i odobrenje kako na cene sakupljanja otpada definisane ovim Ugovorom, tako i na način</w:t>
            </w:r>
            <w:r w:rsidR="00465BF3" w:rsidRPr="003C0940">
              <w:rPr>
                <w:rFonts w:ascii="Verdana" w:eastAsia="Times New Roman" w:hAnsi="Verdana" w:cs="Arial"/>
                <w:bCs/>
                <w:sz w:val="20"/>
                <w:szCs w:val="20"/>
                <w:lang w:eastAsia="de-DE"/>
              </w:rPr>
              <w:t xml:space="preserve"> usklađivanja cena sakupljanja otpada kako je to definisano ovim Ugovorom.</w:t>
            </w:r>
          </w:p>
          <w:p w14:paraId="5DCF93A2" w14:textId="77777777" w:rsidR="00465BF3" w:rsidRPr="003C0940" w:rsidRDefault="00465BF3" w:rsidP="006A1ECB">
            <w:pPr>
              <w:keepNext/>
              <w:snapToGrid w:val="0"/>
              <w:jc w:val="both"/>
              <w:rPr>
                <w:rFonts w:ascii="Verdana" w:eastAsia="Times New Roman" w:hAnsi="Verdana" w:cs="Arial"/>
                <w:bCs/>
                <w:sz w:val="20"/>
                <w:szCs w:val="20"/>
                <w:lang w:eastAsia="de-DE"/>
              </w:rPr>
            </w:pPr>
          </w:p>
          <w:p w14:paraId="10B14E49" w14:textId="511C1A23" w:rsidR="00465BF3" w:rsidRPr="003C0940" w:rsidRDefault="007A645B"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1.6.</w:t>
            </w:r>
            <w:r w:rsidRPr="003C0940">
              <w:rPr>
                <w:rFonts w:ascii="Verdana" w:eastAsia="Times New Roman" w:hAnsi="Verdana" w:cs="Arial"/>
                <w:bCs/>
                <w:sz w:val="20"/>
                <w:szCs w:val="20"/>
                <w:lang w:eastAsia="de-DE"/>
              </w:rPr>
              <w:t xml:space="preserve"> </w:t>
            </w:r>
            <w:r w:rsidR="00465BF3" w:rsidRPr="003C0940">
              <w:rPr>
                <w:rFonts w:ascii="Verdana" w:eastAsia="Times New Roman" w:hAnsi="Verdana" w:cs="Arial"/>
                <w:bCs/>
                <w:sz w:val="20"/>
                <w:szCs w:val="20"/>
                <w:lang w:eastAsia="de-DE"/>
              </w:rPr>
              <w:t>Klijent se obavezuje da obezbedi donošenje odluke Skupštine opštine Lapovo kojom se daje napred navedena saglasnost i odobrenje.</w:t>
            </w:r>
          </w:p>
          <w:p w14:paraId="1D7CFBC7" w14:textId="77777777" w:rsidR="00465BF3" w:rsidRPr="003C0940" w:rsidRDefault="00465BF3" w:rsidP="006A1ECB">
            <w:pPr>
              <w:keepNext/>
              <w:snapToGrid w:val="0"/>
              <w:jc w:val="both"/>
              <w:rPr>
                <w:rFonts w:ascii="Verdana" w:eastAsia="Times New Roman" w:hAnsi="Verdana" w:cs="Arial"/>
                <w:bCs/>
                <w:sz w:val="20"/>
                <w:szCs w:val="20"/>
                <w:lang w:eastAsia="de-DE"/>
              </w:rPr>
            </w:pPr>
          </w:p>
          <w:p w14:paraId="67BE8E71" w14:textId="77777777" w:rsidR="002E208A" w:rsidRPr="003C0940" w:rsidRDefault="002E208A" w:rsidP="00FC740B">
            <w:pPr>
              <w:keepNext/>
              <w:snapToGrid w:val="0"/>
              <w:jc w:val="center"/>
              <w:rPr>
                <w:rFonts w:ascii="Verdana" w:eastAsia="Times New Roman" w:hAnsi="Verdana" w:cs="Arial"/>
                <w:b/>
                <w:sz w:val="20"/>
                <w:szCs w:val="20"/>
                <w:lang w:eastAsia="de-DE"/>
              </w:rPr>
            </w:pPr>
          </w:p>
          <w:p w14:paraId="0A899EB5" w14:textId="370F79C0" w:rsidR="00FC740B" w:rsidRPr="003C0940" w:rsidRDefault="00FC740B" w:rsidP="00FC740B">
            <w:pPr>
              <w:keepNext/>
              <w:snapToGrid w:val="0"/>
              <w:jc w:val="center"/>
              <w:rPr>
                <w:rFonts w:ascii="Verdana" w:eastAsia="Times New Roman" w:hAnsi="Verdana" w:cs="Arial"/>
                <w:b/>
                <w:sz w:val="20"/>
                <w:szCs w:val="20"/>
                <w:lang w:eastAsia="de-DE"/>
              </w:rPr>
            </w:pPr>
            <w:r w:rsidRPr="003C0940">
              <w:rPr>
                <w:rFonts w:ascii="Verdana" w:eastAsia="Times New Roman" w:hAnsi="Verdana" w:cs="Arial"/>
                <w:b/>
                <w:sz w:val="20"/>
                <w:szCs w:val="20"/>
                <w:lang w:eastAsia="de-DE"/>
              </w:rPr>
              <w:t>Član 2</w:t>
            </w:r>
          </w:p>
          <w:p w14:paraId="2B23115C" w14:textId="3213CD0C" w:rsidR="007E59D7" w:rsidRPr="003C0940" w:rsidRDefault="007E59D7" w:rsidP="006A1ECB">
            <w:pPr>
              <w:keepNext/>
              <w:snapToGrid w:val="0"/>
              <w:jc w:val="both"/>
              <w:rPr>
                <w:rFonts w:ascii="Verdana" w:eastAsia="Times New Roman" w:hAnsi="Verdana" w:cs="Arial"/>
                <w:bCs/>
                <w:sz w:val="20"/>
                <w:szCs w:val="20"/>
                <w:lang w:eastAsia="de-DE"/>
              </w:rPr>
            </w:pPr>
          </w:p>
          <w:p w14:paraId="132FFB61" w14:textId="18A02489" w:rsidR="005C5E86" w:rsidRPr="003C0940" w:rsidRDefault="000A6084" w:rsidP="006A1ECB">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2.1.</w:t>
            </w:r>
            <w:r w:rsidRPr="003C0940">
              <w:rPr>
                <w:rFonts w:ascii="Verdana" w:eastAsia="Times New Roman" w:hAnsi="Verdana" w:cs="Arial"/>
                <w:bCs/>
                <w:sz w:val="20"/>
                <w:szCs w:val="20"/>
                <w:lang w:eastAsia="de-DE"/>
              </w:rPr>
              <w:t xml:space="preserve"> Ugovorne strane su saglasne da se ovim Aneksom </w:t>
            </w:r>
            <w:r w:rsidR="00050537" w:rsidRPr="003C0940">
              <w:rPr>
                <w:rFonts w:ascii="Verdana" w:eastAsia="Times New Roman" w:hAnsi="Verdana" w:cs="Arial"/>
                <w:bCs/>
                <w:sz w:val="20"/>
                <w:szCs w:val="20"/>
                <w:lang w:eastAsia="de-DE"/>
              </w:rPr>
              <w:t>3</w:t>
            </w:r>
            <w:r w:rsidRPr="003C0940">
              <w:rPr>
                <w:rFonts w:ascii="Verdana" w:eastAsia="Times New Roman" w:hAnsi="Verdana" w:cs="Arial"/>
                <w:bCs/>
                <w:sz w:val="20"/>
                <w:szCs w:val="20"/>
                <w:lang w:eastAsia="de-DE"/>
              </w:rPr>
              <w:t xml:space="preserve"> Ugovora utvrđuje Plan sakupljanja otpada na teritoriji opštine Lapovo (Rute) – Raspored sakupljanja i transporta komunalnog otpada po danima na nedeljnom nivou za </w:t>
            </w:r>
            <w:r w:rsidR="005E572D" w:rsidRPr="003C0940">
              <w:rPr>
                <w:rFonts w:ascii="Verdana" w:eastAsia="Times New Roman" w:hAnsi="Verdana" w:cs="Arial"/>
                <w:bCs/>
                <w:sz w:val="20"/>
                <w:szCs w:val="20"/>
                <w:lang w:eastAsia="de-DE"/>
              </w:rPr>
              <w:t>2025.</w:t>
            </w:r>
            <w:r w:rsidRPr="003C0940">
              <w:rPr>
                <w:rFonts w:ascii="Verdana" w:eastAsia="Times New Roman" w:hAnsi="Verdana" w:cs="Arial"/>
                <w:bCs/>
                <w:sz w:val="20"/>
                <w:szCs w:val="20"/>
                <w:lang w:eastAsia="de-DE"/>
              </w:rPr>
              <w:t xml:space="preserve"> godinu.</w:t>
            </w:r>
          </w:p>
          <w:p w14:paraId="330AF3A7" w14:textId="77777777" w:rsidR="000A6084" w:rsidRPr="003C0940" w:rsidRDefault="000A6084" w:rsidP="006A1ECB">
            <w:pPr>
              <w:keepNext/>
              <w:snapToGrid w:val="0"/>
              <w:jc w:val="both"/>
              <w:rPr>
                <w:rFonts w:ascii="Verdana" w:eastAsia="Times New Roman" w:hAnsi="Verdana"/>
                <w:b/>
                <w:bCs/>
                <w:sz w:val="20"/>
                <w:szCs w:val="20"/>
                <w:lang w:val="sr-Latn-CS"/>
              </w:rPr>
            </w:pPr>
          </w:p>
          <w:p w14:paraId="7556DF77" w14:textId="5331FEED" w:rsidR="000A6084" w:rsidRPr="003C0940" w:rsidRDefault="000A6084" w:rsidP="008D6FB7">
            <w:pPr>
              <w:keepNext/>
              <w:snapToGrid w:val="0"/>
              <w:jc w:val="both"/>
              <w:rPr>
                <w:rFonts w:ascii="Verdana" w:eastAsia="Times New Roman" w:hAnsi="Verdana"/>
                <w:b/>
                <w:bCs/>
                <w:sz w:val="20"/>
                <w:szCs w:val="20"/>
                <w:lang w:val="sr-Latn-CS"/>
              </w:rPr>
            </w:pPr>
            <w:r w:rsidRPr="003C0940">
              <w:rPr>
                <w:rFonts w:ascii="Verdana" w:eastAsia="Times New Roman" w:hAnsi="Verdana"/>
                <w:b/>
                <w:bCs/>
                <w:sz w:val="20"/>
                <w:szCs w:val="20"/>
                <w:lang w:val="sr-Latn-CS"/>
              </w:rPr>
              <w:t>2.2.</w:t>
            </w:r>
            <w:r w:rsidRPr="003C0940">
              <w:rPr>
                <w:rFonts w:ascii="Verdana" w:eastAsia="Times New Roman" w:hAnsi="Verdana"/>
                <w:sz w:val="20"/>
                <w:szCs w:val="20"/>
                <w:lang w:val="sr-Latn-CS"/>
              </w:rPr>
              <w:t xml:space="preserve"> Plan sakupljanja otpada na teritoriji opštine Lapovo (Rute) su sastavni deo Aneksa </w:t>
            </w:r>
            <w:r w:rsidR="005E572D" w:rsidRPr="003C0940">
              <w:rPr>
                <w:rFonts w:ascii="Verdana" w:eastAsia="Times New Roman" w:hAnsi="Verdana"/>
                <w:sz w:val="20"/>
                <w:szCs w:val="20"/>
                <w:lang w:val="sr-Latn-CS"/>
              </w:rPr>
              <w:t>3</w:t>
            </w:r>
            <w:r w:rsidRPr="003C0940">
              <w:rPr>
                <w:rFonts w:ascii="Verdana" w:eastAsia="Times New Roman" w:hAnsi="Verdana"/>
                <w:sz w:val="20"/>
                <w:szCs w:val="20"/>
                <w:lang w:val="sr-Latn-CS"/>
              </w:rPr>
              <w:t xml:space="preserve"> kao Prilog </w:t>
            </w:r>
            <w:r w:rsidR="00050537" w:rsidRPr="003C0940">
              <w:rPr>
                <w:rFonts w:ascii="Verdana" w:eastAsia="Times New Roman" w:hAnsi="Verdana"/>
                <w:sz w:val="20"/>
                <w:szCs w:val="20"/>
                <w:lang w:val="sr-Latn-CS"/>
              </w:rPr>
              <w:t>3</w:t>
            </w:r>
            <w:r w:rsidRPr="003C0940">
              <w:rPr>
                <w:rFonts w:ascii="Verdana" w:eastAsia="Times New Roman" w:hAnsi="Verdana"/>
                <w:b/>
                <w:bCs/>
                <w:sz w:val="20"/>
                <w:szCs w:val="20"/>
                <w:lang w:val="sr-Latn-CS"/>
              </w:rPr>
              <w:t>.</w:t>
            </w:r>
          </w:p>
          <w:p w14:paraId="15AABA34" w14:textId="77777777" w:rsidR="00FF42C0" w:rsidRPr="003C0940" w:rsidRDefault="00FF42C0" w:rsidP="008D6FB7">
            <w:pPr>
              <w:keepNext/>
              <w:snapToGrid w:val="0"/>
              <w:jc w:val="both"/>
              <w:rPr>
                <w:rFonts w:ascii="Verdana" w:eastAsia="Times New Roman" w:hAnsi="Verdana"/>
                <w:b/>
                <w:bCs/>
                <w:sz w:val="20"/>
                <w:szCs w:val="20"/>
                <w:lang w:val="sr-Latn-CS"/>
              </w:rPr>
            </w:pPr>
          </w:p>
          <w:p w14:paraId="677CBF98" w14:textId="5FD907D7" w:rsidR="00B72C77" w:rsidRPr="003C0940" w:rsidRDefault="00B72C77" w:rsidP="008D6FB7">
            <w:pPr>
              <w:keepNext/>
              <w:snapToGrid w:val="0"/>
              <w:jc w:val="both"/>
              <w:rPr>
                <w:rFonts w:ascii="Verdana" w:eastAsia="Times New Roman" w:hAnsi="Verdana"/>
                <w:sz w:val="20"/>
                <w:szCs w:val="20"/>
                <w:lang w:val="sr-Latn-CS"/>
              </w:rPr>
            </w:pPr>
            <w:r w:rsidRPr="003C0940">
              <w:rPr>
                <w:rFonts w:ascii="Verdana" w:eastAsia="Times New Roman" w:hAnsi="Verdana"/>
                <w:b/>
                <w:bCs/>
                <w:sz w:val="20"/>
                <w:szCs w:val="20"/>
                <w:lang w:val="sr-Latn-CS"/>
              </w:rPr>
              <w:t>2.3.</w:t>
            </w:r>
            <w:r w:rsidR="00FF42C0" w:rsidRPr="003C0940">
              <w:rPr>
                <w:rFonts w:ascii="Verdana" w:eastAsia="Times New Roman" w:hAnsi="Verdana"/>
                <w:b/>
                <w:bCs/>
                <w:sz w:val="20"/>
                <w:szCs w:val="20"/>
                <w:lang w:val="sr-Latn-CS"/>
              </w:rPr>
              <w:t xml:space="preserve"> </w:t>
            </w:r>
            <w:r w:rsidR="00AE10C9" w:rsidRPr="003C0940">
              <w:rPr>
                <w:rFonts w:ascii="Verdana" w:eastAsia="Times New Roman" w:hAnsi="Verdana"/>
                <w:sz w:val="20"/>
                <w:szCs w:val="20"/>
                <w:lang w:val="sr-Latn-CS"/>
              </w:rPr>
              <w:t xml:space="preserve">Operater </w:t>
            </w:r>
            <w:r w:rsidR="002026CD" w:rsidRPr="003C0940">
              <w:rPr>
                <w:rFonts w:ascii="Verdana" w:eastAsia="Times New Roman" w:hAnsi="Verdana"/>
                <w:sz w:val="20"/>
                <w:szCs w:val="20"/>
                <w:lang w:val="sr-Latn-CS"/>
              </w:rPr>
              <w:t xml:space="preserve">se obavezuje da u 2025. godini organizuje akciju sakupljanja krupnog komunalnog otpada. Akcija sakupljanja krupnog komunalnog otpada se planira dva puta godišnje i to u </w:t>
            </w:r>
            <w:r w:rsidR="00530FDC" w:rsidRPr="003C0940">
              <w:rPr>
                <w:rFonts w:ascii="Verdana" w:eastAsia="Times New Roman" w:hAnsi="Verdana"/>
                <w:sz w:val="20"/>
                <w:szCs w:val="20"/>
                <w:lang w:val="sr-Latn-CS"/>
              </w:rPr>
              <w:t xml:space="preserve">prolećnom i jesenjem periodu. </w:t>
            </w:r>
          </w:p>
          <w:p w14:paraId="5F9C421A" w14:textId="33BF0776" w:rsidR="00530FDC" w:rsidRPr="003C0940" w:rsidRDefault="00530FDC" w:rsidP="008D6FB7">
            <w:pPr>
              <w:keepNext/>
              <w:snapToGrid w:val="0"/>
              <w:jc w:val="both"/>
              <w:rPr>
                <w:rFonts w:ascii="Verdana" w:eastAsia="Times New Roman" w:hAnsi="Verdana"/>
                <w:sz w:val="20"/>
                <w:szCs w:val="20"/>
                <w:lang w:val="sr-Latn-CS"/>
              </w:rPr>
            </w:pPr>
            <w:r w:rsidRPr="003C0940">
              <w:rPr>
                <w:rFonts w:ascii="Verdana" w:eastAsia="Times New Roman" w:hAnsi="Verdana"/>
                <w:sz w:val="20"/>
                <w:szCs w:val="20"/>
                <w:lang w:val="sr-Latn-CS"/>
              </w:rPr>
              <w:t>Prolećni period</w:t>
            </w:r>
            <w:r w:rsidR="007C0FDC" w:rsidRPr="003C0940">
              <w:rPr>
                <w:rFonts w:ascii="Verdana" w:eastAsia="Times New Roman" w:hAnsi="Verdana"/>
                <w:sz w:val="20"/>
                <w:szCs w:val="20"/>
                <w:lang w:val="sr-Latn-CS"/>
              </w:rPr>
              <w:t xml:space="preserve"> sakupljanja krupnog komunalnog otpada</w:t>
            </w:r>
            <w:r w:rsidRPr="003C0940">
              <w:rPr>
                <w:rFonts w:ascii="Verdana" w:eastAsia="Times New Roman" w:hAnsi="Verdana"/>
                <w:sz w:val="20"/>
                <w:szCs w:val="20"/>
                <w:lang w:val="sr-Latn-CS"/>
              </w:rPr>
              <w:t xml:space="preserve"> će trajati u periodu od 01.05.2025. godine do 3</w:t>
            </w:r>
            <w:r w:rsidR="007C0FDC" w:rsidRPr="003C0940">
              <w:rPr>
                <w:rFonts w:ascii="Verdana" w:eastAsia="Times New Roman" w:hAnsi="Verdana"/>
                <w:sz w:val="20"/>
                <w:szCs w:val="20"/>
                <w:lang w:val="sr-Latn-CS"/>
              </w:rPr>
              <w:t>1.05.2025. godine.</w:t>
            </w:r>
          </w:p>
          <w:p w14:paraId="3A83DF09" w14:textId="1BA398E8" w:rsidR="007C0FDC" w:rsidRPr="003C0940" w:rsidRDefault="007C0FDC" w:rsidP="008D6FB7">
            <w:pPr>
              <w:keepNext/>
              <w:snapToGrid w:val="0"/>
              <w:jc w:val="both"/>
              <w:rPr>
                <w:rFonts w:ascii="Verdana" w:eastAsia="Times New Roman" w:hAnsi="Verdana"/>
                <w:sz w:val="20"/>
                <w:szCs w:val="20"/>
                <w:lang w:val="sr-Latn-CS"/>
              </w:rPr>
            </w:pPr>
            <w:r w:rsidRPr="003C0940">
              <w:rPr>
                <w:rFonts w:ascii="Verdana" w:eastAsia="Times New Roman" w:hAnsi="Verdana"/>
                <w:sz w:val="20"/>
                <w:szCs w:val="20"/>
                <w:lang w:val="sr-Latn-CS"/>
              </w:rPr>
              <w:t xml:space="preserve">Jesenji period sakupljanja krupnog komunalnog otpada će trajati u periodu od </w:t>
            </w:r>
            <w:r w:rsidR="008C22B0" w:rsidRPr="003C0940">
              <w:rPr>
                <w:rFonts w:ascii="Verdana" w:eastAsia="Times New Roman" w:hAnsi="Verdana"/>
                <w:sz w:val="20"/>
                <w:szCs w:val="20"/>
                <w:lang w:val="sr-Latn-CS"/>
              </w:rPr>
              <w:t>01.</w:t>
            </w:r>
            <w:r w:rsidR="0034380C" w:rsidRPr="003C0940">
              <w:rPr>
                <w:rFonts w:ascii="Verdana" w:eastAsia="Times New Roman" w:hAnsi="Verdana"/>
                <w:sz w:val="20"/>
                <w:szCs w:val="20"/>
                <w:lang w:val="sr-Latn-CS"/>
              </w:rPr>
              <w:t>10</w:t>
            </w:r>
            <w:r w:rsidR="00BA2086" w:rsidRPr="003C0940">
              <w:rPr>
                <w:rFonts w:ascii="Verdana" w:eastAsia="Times New Roman" w:hAnsi="Verdana"/>
                <w:sz w:val="20"/>
                <w:szCs w:val="20"/>
                <w:lang w:val="sr-Latn-CS"/>
              </w:rPr>
              <w:t>.2025. godine do 3</w:t>
            </w:r>
            <w:r w:rsidR="0034380C" w:rsidRPr="003C0940">
              <w:rPr>
                <w:rFonts w:ascii="Verdana" w:eastAsia="Times New Roman" w:hAnsi="Verdana"/>
                <w:sz w:val="20"/>
                <w:szCs w:val="20"/>
                <w:lang w:val="sr-Latn-CS"/>
              </w:rPr>
              <w:t>1</w:t>
            </w:r>
            <w:r w:rsidR="00BA2086" w:rsidRPr="003C0940">
              <w:rPr>
                <w:rFonts w:ascii="Verdana" w:eastAsia="Times New Roman" w:hAnsi="Verdana"/>
                <w:sz w:val="20"/>
                <w:szCs w:val="20"/>
                <w:lang w:val="sr-Latn-CS"/>
              </w:rPr>
              <w:t>.</w:t>
            </w:r>
            <w:r w:rsidR="0034380C" w:rsidRPr="003C0940">
              <w:rPr>
                <w:rFonts w:ascii="Verdana" w:eastAsia="Times New Roman" w:hAnsi="Verdana"/>
                <w:sz w:val="20"/>
                <w:szCs w:val="20"/>
                <w:lang w:val="sr-Latn-CS"/>
              </w:rPr>
              <w:t>10</w:t>
            </w:r>
            <w:r w:rsidR="00BA2086" w:rsidRPr="003C0940">
              <w:rPr>
                <w:rFonts w:ascii="Verdana" w:eastAsia="Times New Roman" w:hAnsi="Verdana"/>
                <w:sz w:val="20"/>
                <w:szCs w:val="20"/>
                <w:lang w:val="sr-Latn-CS"/>
              </w:rPr>
              <w:t xml:space="preserve">.2025. godine. </w:t>
            </w:r>
          </w:p>
          <w:p w14:paraId="0EF3DEEA" w14:textId="010174B3" w:rsidR="00BA2086" w:rsidRPr="003C0940" w:rsidRDefault="00BA2086" w:rsidP="008D6FB7">
            <w:pPr>
              <w:keepNext/>
              <w:snapToGrid w:val="0"/>
              <w:jc w:val="both"/>
              <w:rPr>
                <w:rFonts w:ascii="Verdana" w:eastAsia="Times New Roman" w:hAnsi="Verdana"/>
                <w:sz w:val="20"/>
                <w:szCs w:val="20"/>
                <w:lang w:val="sr-Latn-CS"/>
              </w:rPr>
            </w:pPr>
          </w:p>
          <w:p w14:paraId="21CCFA39" w14:textId="0E34B166" w:rsidR="00387144" w:rsidRPr="003C0940" w:rsidRDefault="00BF1BA5" w:rsidP="001006DF">
            <w:pPr>
              <w:keepNext/>
              <w:snapToGrid w:val="0"/>
              <w:jc w:val="both"/>
              <w:rPr>
                <w:rFonts w:ascii="Verdana" w:eastAsia="Times New Roman" w:hAnsi="Verdana"/>
                <w:sz w:val="20"/>
                <w:szCs w:val="20"/>
                <w:lang w:val="sr-Latn-CS"/>
              </w:rPr>
            </w:pPr>
            <w:r w:rsidRPr="003C0940">
              <w:rPr>
                <w:rFonts w:ascii="Verdana" w:eastAsia="Times New Roman" w:hAnsi="Verdana"/>
                <w:b/>
                <w:bCs/>
                <w:sz w:val="20"/>
                <w:szCs w:val="20"/>
                <w:lang w:val="sr-Latn-CS"/>
              </w:rPr>
              <w:t>2.4.</w:t>
            </w:r>
            <w:r w:rsidRPr="003C0940">
              <w:rPr>
                <w:rFonts w:ascii="Verdana" w:eastAsia="Times New Roman" w:hAnsi="Verdana"/>
                <w:sz w:val="20"/>
                <w:szCs w:val="20"/>
                <w:lang w:val="sr-Latn-CS"/>
              </w:rPr>
              <w:t xml:space="preserve"> </w:t>
            </w:r>
            <w:r w:rsidR="00583D17" w:rsidRPr="003C0940">
              <w:rPr>
                <w:rFonts w:ascii="Verdana" w:eastAsia="Times New Roman" w:hAnsi="Verdana"/>
                <w:sz w:val="20"/>
                <w:szCs w:val="20"/>
                <w:lang w:val="sr-Latn-CS"/>
              </w:rPr>
              <w:t>Klijent se obavezuje da</w:t>
            </w:r>
            <w:r w:rsidR="00121780" w:rsidRPr="003C0940">
              <w:rPr>
                <w:rFonts w:ascii="Verdana" w:eastAsia="Times New Roman" w:hAnsi="Verdana"/>
                <w:sz w:val="20"/>
                <w:szCs w:val="20"/>
                <w:lang w:val="sr-Latn-CS"/>
              </w:rPr>
              <w:t xml:space="preserve"> zajedno sa Operaterom </w:t>
            </w:r>
            <w:r w:rsidR="002A52FE" w:rsidRPr="003C0940">
              <w:rPr>
                <w:rFonts w:ascii="Verdana" w:eastAsia="Times New Roman" w:hAnsi="Verdana"/>
                <w:sz w:val="20"/>
                <w:szCs w:val="20"/>
                <w:lang w:val="sr-Latn-CS"/>
              </w:rPr>
              <w:t>14</w:t>
            </w:r>
            <w:r w:rsidR="00121780" w:rsidRPr="003C0940">
              <w:rPr>
                <w:rFonts w:ascii="Verdana" w:eastAsia="Times New Roman" w:hAnsi="Verdana"/>
                <w:sz w:val="20"/>
                <w:szCs w:val="20"/>
                <w:lang w:val="sr-Latn-CS"/>
              </w:rPr>
              <w:t xml:space="preserve"> dana pre početka akcije dogovori</w:t>
            </w:r>
            <w:r w:rsidR="00F222C3" w:rsidRPr="003C0940">
              <w:rPr>
                <w:rFonts w:ascii="Verdana" w:eastAsia="Times New Roman" w:hAnsi="Verdana"/>
                <w:sz w:val="20"/>
                <w:szCs w:val="20"/>
                <w:lang w:val="sr-Latn-CS"/>
              </w:rPr>
              <w:t xml:space="preserve"> </w:t>
            </w:r>
            <w:r w:rsidR="00CE1475" w:rsidRPr="003C0940">
              <w:rPr>
                <w:rFonts w:ascii="Verdana" w:eastAsia="Times New Roman" w:hAnsi="Verdana"/>
                <w:sz w:val="20"/>
                <w:szCs w:val="20"/>
                <w:lang w:val="sr-Latn-CS"/>
              </w:rPr>
              <w:t>plan postavljanja komunalnih posuda</w:t>
            </w:r>
            <w:r w:rsidR="002A52FE" w:rsidRPr="003C0940">
              <w:rPr>
                <w:rFonts w:ascii="Verdana" w:eastAsia="Times New Roman" w:hAnsi="Verdana"/>
                <w:sz w:val="20"/>
                <w:szCs w:val="20"/>
                <w:lang w:val="sr-Latn-CS"/>
              </w:rPr>
              <w:t xml:space="preserve"> po ulicama</w:t>
            </w:r>
            <w:r w:rsidR="00CE1475" w:rsidRPr="003C0940">
              <w:rPr>
                <w:rFonts w:ascii="Verdana" w:eastAsia="Times New Roman" w:hAnsi="Verdana"/>
                <w:sz w:val="20"/>
                <w:szCs w:val="20"/>
                <w:lang w:val="sr-Latn-CS"/>
              </w:rPr>
              <w:t xml:space="preserve"> i</w:t>
            </w:r>
            <w:r w:rsidR="00121780" w:rsidRPr="003C0940">
              <w:rPr>
                <w:rFonts w:ascii="Verdana" w:eastAsia="Times New Roman" w:hAnsi="Verdana"/>
                <w:sz w:val="20"/>
                <w:szCs w:val="20"/>
                <w:lang w:val="sr-Latn-CS"/>
              </w:rPr>
              <w:t xml:space="preserve"> </w:t>
            </w:r>
            <w:r w:rsidR="00F222C3" w:rsidRPr="003C0940">
              <w:rPr>
                <w:rFonts w:ascii="Verdana" w:eastAsia="Times New Roman" w:hAnsi="Verdana"/>
                <w:sz w:val="20"/>
                <w:szCs w:val="20"/>
                <w:lang w:val="sr-Latn-CS"/>
              </w:rPr>
              <w:t>dinamiku pražnjenja</w:t>
            </w:r>
            <w:r w:rsidR="00B97FED" w:rsidRPr="003C0940">
              <w:rPr>
                <w:rFonts w:ascii="Verdana" w:eastAsia="Times New Roman" w:hAnsi="Verdana"/>
                <w:sz w:val="20"/>
                <w:szCs w:val="20"/>
                <w:lang w:val="sr-Latn-CS"/>
              </w:rPr>
              <w:t xml:space="preserve"> istih.</w:t>
            </w:r>
          </w:p>
          <w:p w14:paraId="3E27BEC2" w14:textId="77777777" w:rsidR="00B97FED" w:rsidRPr="003C0940" w:rsidRDefault="00B97FED" w:rsidP="001006DF">
            <w:pPr>
              <w:keepNext/>
              <w:snapToGrid w:val="0"/>
              <w:jc w:val="both"/>
              <w:rPr>
                <w:rFonts w:ascii="Verdana" w:eastAsia="Times New Roman" w:hAnsi="Verdana"/>
                <w:sz w:val="20"/>
                <w:szCs w:val="20"/>
                <w:lang w:val="sr-Latn-CS"/>
              </w:rPr>
            </w:pPr>
          </w:p>
          <w:p w14:paraId="01FCA4A7" w14:textId="017F1399" w:rsidR="00387144" w:rsidRPr="003C0940" w:rsidRDefault="00387144" w:rsidP="001006DF">
            <w:pPr>
              <w:keepNext/>
              <w:snapToGrid w:val="0"/>
              <w:jc w:val="both"/>
              <w:rPr>
                <w:rFonts w:ascii="Verdana" w:eastAsia="Times New Roman" w:hAnsi="Verdana" w:cs="Arial"/>
                <w:b/>
                <w:sz w:val="20"/>
                <w:szCs w:val="20"/>
                <w:lang w:eastAsia="de-DE"/>
              </w:rPr>
            </w:pPr>
            <w:r w:rsidRPr="003C0940">
              <w:rPr>
                <w:rFonts w:ascii="Verdana" w:eastAsia="Times New Roman" w:hAnsi="Verdana" w:cs="Arial"/>
                <w:b/>
                <w:sz w:val="20"/>
                <w:szCs w:val="20"/>
                <w:lang w:eastAsia="de-DE"/>
              </w:rPr>
              <w:t xml:space="preserve">II STUPANJE NA SNAGU ANEKSA </w:t>
            </w:r>
            <w:r w:rsidR="005E572D" w:rsidRPr="003C0940">
              <w:rPr>
                <w:rFonts w:ascii="Verdana" w:eastAsia="Times New Roman" w:hAnsi="Verdana" w:cs="Arial"/>
                <w:b/>
                <w:sz w:val="20"/>
                <w:szCs w:val="20"/>
                <w:lang w:eastAsia="de-DE"/>
              </w:rPr>
              <w:t>3</w:t>
            </w:r>
            <w:r w:rsidRPr="003C0940">
              <w:rPr>
                <w:rFonts w:ascii="Verdana" w:eastAsia="Times New Roman" w:hAnsi="Verdana" w:cs="Arial"/>
                <w:b/>
                <w:sz w:val="20"/>
                <w:szCs w:val="20"/>
                <w:lang w:eastAsia="de-DE"/>
              </w:rPr>
              <w:t xml:space="preserve"> UGOVORA</w:t>
            </w:r>
          </w:p>
          <w:p w14:paraId="559C7CF0" w14:textId="77777777" w:rsidR="001006DF" w:rsidRPr="003C0940" w:rsidRDefault="001006DF" w:rsidP="001006DF">
            <w:pPr>
              <w:keepNext/>
              <w:snapToGrid w:val="0"/>
              <w:rPr>
                <w:rFonts w:ascii="Verdana" w:eastAsia="Times New Roman" w:hAnsi="Verdana" w:cs="Arial"/>
                <w:bCs/>
                <w:sz w:val="20"/>
                <w:szCs w:val="20"/>
                <w:lang w:eastAsia="de-DE"/>
              </w:rPr>
            </w:pPr>
          </w:p>
          <w:p w14:paraId="68F3565E" w14:textId="77777777" w:rsidR="008D6FB7" w:rsidRPr="003C0940" w:rsidRDefault="008D6FB7" w:rsidP="001006DF">
            <w:pPr>
              <w:keepNext/>
              <w:snapToGrid w:val="0"/>
              <w:rPr>
                <w:rFonts w:ascii="Verdana" w:eastAsia="Times New Roman" w:hAnsi="Verdana" w:cs="Arial"/>
                <w:bCs/>
                <w:sz w:val="20"/>
                <w:szCs w:val="20"/>
                <w:lang w:eastAsia="de-DE"/>
              </w:rPr>
            </w:pPr>
          </w:p>
          <w:p w14:paraId="4136B785" w14:textId="4B4C1ABC" w:rsidR="000A6084" w:rsidRPr="003C0940" w:rsidRDefault="00387144" w:rsidP="00387144">
            <w:pPr>
              <w:keepNext/>
              <w:snapToGrid w:val="0"/>
              <w:jc w:val="center"/>
              <w:rPr>
                <w:rFonts w:ascii="Verdana" w:eastAsia="Times New Roman" w:hAnsi="Verdana" w:cs="Arial"/>
                <w:b/>
                <w:sz w:val="20"/>
                <w:szCs w:val="20"/>
                <w:lang w:eastAsia="de-DE"/>
              </w:rPr>
            </w:pPr>
            <w:r w:rsidRPr="003C0940">
              <w:rPr>
                <w:rFonts w:ascii="Verdana" w:eastAsia="Times New Roman" w:hAnsi="Verdana" w:cs="Arial"/>
                <w:b/>
                <w:sz w:val="20"/>
                <w:szCs w:val="20"/>
                <w:lang w:eastAsia="de-DE"/>
              </w:rPr>
              <w:t xml:space="preserve">Član </w:t>
            </w:r>
            <w:r w:rsidR="007A645B" w:rsidRPr="003C0940">
              <w:rPr>
                <w:rFonts w:ascii="Verdana" w:eastAsia="Times New Roman" w:hAnsi="Verdana" w:cs="Arial"/>
                <w:b/>
                <w:sz w:val="20"/>
                <w:szCs w:val="20"/>
                <w:lang w:eastAsia="de-DE"/>
              </w:rPr>
              <w:t>3</w:t>
            </w:r>
          </w:p>
          <w:p w14:paraId="72C8B22C" w14:textId="77777777" w:rsidR="00D01C84" w:rsidRPr="003C0940" w:rsidRDefault="00D01C84" w:rsidP="008D6FB7">
            <w:pPr>
              <w:keepNext/>
              <w:snapToGrid w:val="0"/>
              <w:rPr>
                <w:rFonts w:ascii="Verdana" w:eastAsia="Times New Roman" w:hAnsi="Verdana" w:cs="Arial"/>
                <w:b/>
                <w:sz w:val="20"/>
                <w:szCs w:val="20"/>
                <w:lang w:eastAsia="de-DE"/>
              </w:rPr>
            </w:pPr>
          </w:p>
          <w:p w14:paraId="53CC4204" w14:textId="453F97D5" w:rsidR="000A6084" w:rsidRPr="003C0940" w:rsidRDefault="007A645B" w:rsidP="00387144">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3</w:t>
            </w:r>
            <w:r w:rsidR="00387144" w:rsidRPr="003C0940">
              <w:rPr>
                <w:rFonts w:ascii="Verdana" w:eastAsia="Times New Roman" w:hAnsi="Verdana" w:cs="Arial"/>
                <w:b/>
                <w:sz w:val="20"/>
                <w:szCs w:val="20"/>
                <w:lang w:eastAsia="de-DE"/>
              </w:rPr>
              <w:t xml:space="preserve">.1. </w:t>
            </w:r>
            <w:r w:rsidR="00387144" w:rsidRPr="003C0940">
              <w:rPr>
                <w:rFonts w:ascii="Verdana" w:eastAsia="Times New Roman" w:hAnsi="Verdana" w:cs="Arial"/>
                <w:bCs/>
                <w:sz w:val="20"/>
                <w:szCs w:val="20"/>
                <w:lang w:eastAsia="de-DE"/>
              </w:rPr>
              <w:t xml:space="preserve">Opština Lapovo se obavezuje da pribavi Odluku Skupštine opštine Lapovo kojom se daje saglasnost na cene određene u članu 1 ovog Aneksa </w:t>
            </w:r>
            <w:r w:rsidR="005E572D" w:rsidRPr="003C0940">
              <w:rPr>
                <w:rFonts w:ascii="Verdana" w:eastAsia="Times New Roman" w:hAnsi="Verdana" w:cs="Arial"/>
                <w:bCs/>
                <w:sz w:val="20"/>
                <w:szCs w:val="20"/>
                <w:lang w:eastAsia="de-DE"/>
              </w:rPr>
              <w:t>3</w:t>
            </w:r>
            <w:r w:rsidR="00387144" w:rsidRPr="003C0940">
              <w:rPr>
                <w:rFonts w:ascii="Verdana" w:eastAsia="Times New Roman" w:hAnsi="Verdana" w:cs="Arial"/>
                <w:bCs/>
                <w:sz w:val="20"/>
                <w:szCs w:val="20"/>
                <w:lang w:eastAsia="de-DE"/>
              </w:rPr>
              <w:t>, saglasno članu 28 Zakona o komunalnim delatnostima („Sl. glasnik RS“, br. 88/2011, 104/2016</w:t>
            </w:r>
            <w:r w:rsidR="005E572D" w:rsidRPr="003C0940">
              <w:rPr>
                <w:rFonts w:ascii="Verdana" w:eastAsia="Times New Roman" w:hAnsi="Verdana" w:cs="Arial"/>
                <w:bCs/>
                <w:sz w:val="20"/>
                <w:szCs w:val="20"/>
                <w:lang w:eastAsia="de-DE"/>
              </w:rPr>
              <w:t xml:space="preserve">, </w:t>
            </w:r>
            <w:r w:rsidR="00387144" w:rsidRPr="003C0940">
              <w:rPr>
                <w:rFonts w:ascii="Verdana" w:eastAsia="Times New Roman" w:hAnsi="Verdana" w:cs="Arial"/>
                <w:bCs/>
                <w:sz w:val="20"/>
                <w:szCs w:val="20"/>
                <w:lang w:eastAsia="de-DE"/>
              </w:rPr>
              <w:t>95/2018</w:t>
            </w:r>
            <w:r w:rsidR="005E572D" w:rsidRPr="003C0940">
              <w:rPr>
                <w:rFonts w:ascii="Verdana" w:eastAsia="Times New Roman" w:hAnsi="Verdana" w:cs="Arial"/>
                <w:bCs/>
                <w:sz w:val="20"/>
                <w:szCs w:val="20"/>
                <w:lang w:eastAsia="de-DE"/>
              </w:rPr>
              <w:t xml:space="preserve"> i 94/2024</w:t>
            </w:r>
            <w:r w:rsidR="00387144" w:rsidRPr="003C0940">
              <w:rPr>
                <w:rFonts w:ascii="Verdana" w:eastAsia="Times New Roman" w:hAnsi="Verdana" w:cs="Arial"/>
                <w:bCs/>
                <w:sz w:val="20"/>
                <w:szCs w:val="20"/>
                <w:lang w:eastAsia="de-DE"/>
              </w:rPr>
              <w:t>).</w:t>
            </w:r>
          </w:p>
          <w:p w14:paraId="225DAD48" w14:textId="77777777" w:rsidR="00387144" w:rsidRPr="003C0940" w:rsidRDefault="00387144" w:rsidP="00387144">
            <w:pPr>
              <w:keepNext/>
              <w:snapToGrid w:val="0"/>
              <w:jc w:val="both"/>
              <w:rPr>
                <w:rFonts w:ascii="Verdana" w:eastAsia="Times New Roman" w:hAnsi="Verdana" w:cs="Arial"/>
                <w:bCs/>
                <w:sz w:val="20"/>
                <w:szCs w:val="20"/>
                <w:lang w:eastAsia="de-DE"/>
              </w:rPr>
            </w:pPr>
          </w:p>
          <w:p w14:paraId="0888BC96" w14:textId="77777777" w:rsidR="004B6EEA" w:rsidRPr="003C0940" w:rsidRDefault="004B6EEA" w:rsidP="00387144">
            <w:pPr>
              <w:keepNext/>
              <w:snapToGrid w:val="0"/>
              <w:jc w:val="both"/>
              <w:rPr>
                <w:rFonts w:ascii="Verdana" w:eastAsia="Times New Roman" w:hAnsi="Verdana" w:cs="Arial"/>
                <w:bCs/>
                <w:sz w:val="20"/>
                <w:szCs w:val="20"/>
                <w:lang w:eastAsia="de-DE"/>
              </w:rPr>
            </w:pPr>
          </w:p>
          <w:p w14:paraId="59A90A2E" w14:textId="1B5E063E" w:rsidR="00387144" w:rsidRPr="003C0940" w:rsidRDefault="007A645B" w:rsidP="00387144">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3</w:t>
            </w:r>
            <w:r w:rsidR="0088584B" w:rsidRPr="003C0940">
              <w:rPr>
                <w:rFonts w:ascii="Verdana" w:eastAsia="Times New Roman" w:hAnsi="Verdana" w:cs="Arial"/>
                <w:b/>
                <w:sz w:val="20"/>
                <w:szCs w:val="20"/>
                <w:lang w:eastAsia="de-DE"/>
              </w:rPr>
              <w:t>.2.</w:t>
            </w:r>
            <w:r w:rsidR="0088584B" w:rsidRPr="003C0940">
              <w:rPr>
                <w:rFonts w:ascii="Verdana" w:eastAsia="Times New Roman" w:hAnsi="Verdana" w:cs="Arial"/>
                <w:bCs/>
                <w:sz w:val="20"/>
                <w:szCs w:val="20"/>
                <w:lang w:eastAsia="de-DE"/>
              </w:rPr>
              <w:t xml:space="preserve"> </w:t>
            </w:r>
            <w:r w:rsidR="00387144" w:rsidRPr="003C0940">
              <w:rPr>
                <w:rFonts w:ascii="Verdana" w:eastAsia="Times New Roman" w:hAnsi="Verdana" w:cs="Arial"/>
                <w:bCs/>
                <w:sz w:val="20"/>
                <w:szCs w:val="20"/>
                <w:lang w:eastAsia="de-DE"/>
              </w:rPr>
              <w:t xml:space="preserve">Odluka Skupštine opštine Lapovo, predstavljaće odobrenje i saglasnost Skupštine opštine Lapovo na cene definisane ovim Aneksom </w:t>
            </w:r>
            <w:r w:rsidR="005E572D" w:rsidRPr="003C0940">
              <w:rPr>
                <w:rFonts w:ascii="Verdana" w:eastAsia="Times New Roman" w:hAnsi="Verdana" w:cs="Arial"/>
                <w:bCs/>
                <w:sz w:val="20"/>
                <w:szCs w:val="20"/>
                <w:lang w:eastAsia="de-DE"/>
              </w:rPr>
              <w:t>3</w:t>
            </w:r>
            <w:r w:rsidR="00387144" w:rsidRPr="003C0940">
              <w:rPr>
                <w:rFonts w:ascii="Verdana" w:eastAsia="Times New Roman" w:hAnsi="Verdana" w:cs="Arial"/>
                <w:bCs/>
                <w:sz w:val="20"/>
                <w:szCs w:val="20"/>
                <w:lang w:eastAsia="de-DE"/>
              </w:rPr>
              <w:t xml:space="preserve"> i odobrenje i saglasnost Skupštine opštine Lapovo</w:t>
            </w:r>
            <w:r w:rsidR="00EC62F1" w:rsidRPr="003C0940">
              <w:rPr>
                <w:rFonts w:ascii="Verdana" w:eastAsia="Times New Roman" w:hAnsi="Verdana" w:cs="Arial"/>
                <w:bCs/>
                <w:sz w:val="20"/>
                <w:szCs w:val="20"/>
                <w:lang w:eastAsia="de-DE"/>
              </w:rPr>
              <w:t>, u skladu sa Zakonom kojim se uređuju komunalne delatnosti.</w:t>
            </w:r>
          </w:p>
          <w:p w14:paraId="7C9A48D1" w14:textId="77777777" w:rsidR="00387144" w:rsidRPr="003C0940" w:rsidRDefault="00387144" w:rsidP="00387144">
            <w:pPr>
              <w:keepNext/>
              <w:snapToGrid w:val="0"/>
              <w:jc w:val="both"/>
              <w:rPr>
                <w:rFonts w:ascii="Verdana" w:eastAsia="Times New Roman" w:hAnsi="Verdana" w:cs="Arial"/>
                <w:bCs/>
                <w:sz w:val="20"/>
                <w:szCs w:val="20"/>
                <w:lang w:eastAsia="de-DE"/>
              </w:rPr>
            </w:pPr>
          </w:p>
          <w:p w14:paraId="2B44C9B6" w14:textId="77777777" w:rsidR="00D01C84" w:rsidRPr="003C0940" w:rsidRDefault="00D01C84" w:rsidP="00387144">
            <w:pPr>
              <w:keepNext/>
              <w:snapToGrid w:val="0"/>
              <w:jc w:val="both"/>
              <w:rPr>
                <w:rFonts w:ascii="Verdana" w:eastAsia="Times New Roman" w:hAnsi="Verdana" w:cs="Arial"/>
                <w:bCs/>
                <w:sz w:val="20"/>
                <w:szCs w:val="20"/>
                <w:lang w:eastAsia="de-DE"/>
              </w:rPr>
            </w:pPr>
          </w:p>
          <w:p w14:paraId="120D0B17" w14:textId="52F87892" w:rsidR="00387144" w:rsidRPr="003C0940" w:rsidRDefault="007A645B" w:rsidP="00387144">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lastRenderedPageBreak/>
              <w:t>3</w:t>
            </w:r>
            <w:r w:rsidR="0088584B" w:rsidRPr="003C0940">
              <w:rPr>
                <w:rFonts w:ascii="Verdana" w:eastAsia="Times New Roman" w:hAnsi="Verdana" w:cs="Arial"/>
                <w:b/>
                <w:sz w:val="20"/>
                <w:szCs w:val="20"/>
                <w:lang w:eastAsia="de-DE"/>
              </w:rPr>
              <w:t>.3.</w:t>
            </w:r>
            <w:r w:rsidR="0088584B" w:rsidRPr="003C0940">
              <w:rPr>
                <w:rFonts w:ascii="Verdana" w:eastAsia="Times New Roman" w:hAnsi="Verdana" w:cs="Arial"/>
                <w:bCs/>
                <w:sz w:val="20"/>
                <w:szCs w:val="20"/>
                <w:lang w:eastAsia="de-DE"/>
              </w:rPr>
              <w:t xml:space="preserve"> </w:t>
            </w:r>
            <w:r w:rsidR="00387144" w:rsidRPr="003C0940">
              <w:rPr>
                <w:rFonts w:ascii="Verdana" w:eastAsia="Times New Roman" w:hAnsi="Verdana" w:cs="Arial"/>
                <w:bCs/>
                <w:sz w:val="20"/>
                <w:szCs w:val="20"/>
                <w:lang w:eastAsia="de-DE"/>
              </w:rPr>
              <w:t xml:space="preserve">Odluka Skupštine opštine Lapovo iz prethodnog stava člana </w:t>
            </w:r>
            <w:r w:rsidR="000B6FD5" w:rsidRPr="003C0940">
              <w:rPr>
                <w:rFonts w:ascii="Verdana" w:eastAsia="Times New Roman" w:hAnsi="Verdana" w:cs="Arial"/>
                <w:bCs/>
                <w:sz w:val="20"/>
                <w:szCs w:val="20"/>
                <w:lang w:eastAsia="de-DE"/>
              </w:rPr>
              <w:t>3</w:t>
            </w:r>
            <w:r w:rsidR="00387144" w:rsidRPr="003C0940">
              <w:rPr>
                <w:rFonts w:ascii="Verdana" w:eastAsia="Times New Roman" w:hAnsi="Verdana" w:cs="Arial"/>
                <w:bCs/>
                <w:sz w:val="20"/>
                <w:szCs w:val="20"/>
                <w:lang w:eastAsia="de-DE"/>
              </w:rPr>
              <w:t xml:space="preserve"> ovog Aneksa</w:t>
            </w:r>
            <w:r w:rsidR="003F2AAC" w:rsidRPr="003C0940">
              <w:rPr>
                <w:rFonts w:ascii="Verdana" w:eastAsia="Times New Roman" w:hAnsi="Verdana" w:cs="Arial"/>
                <w:bCs/>
                <w:sz w:val="20"/>
                <w:szCs w:val="20"/>
                <w:lang w:eastAsia="de-DE"/>
              </w:rPr>
              <w:t xml:space="preserve"> 3</w:t>
            </w:r>
            <w:r w:rsidR="00387144" w:rsidRPr="003C0940">
              <w:rPr>
                <w:rFonts w:ascii="Verdana" w:eastAsia="Times New Roman" w:hAnsi="Verdana" w:cs="Arial"/>
                <w:bCs/>
                <w:sz w:val="20"/>
                <w:szCs w:val="20"/>
                <w:lang w:eastAsia="de-DE"/>
              </w:rPr>
              <w:t xml:space="preserve"> mora biti pribavljena što je moguće pre i to na prvoj narednoj sednici Skupštine opštine Lapovo koja bude održana, a ne kasnije od 10 (deset) dana od dana potpisivanja ovog Aneksa </w:t>
            </w:r>
            <w:r w:rsidR="005E572D" w:rsidRPr="003C0940">
              <w:rPr>
                <w:rFonts w:ascii="Verdana" w:eastAsia="Times New Roman" w:hAnsi="Verdana" w:cs="Arial"/>
                <w:bCs/>
                <w:sz w:val="20"/>
                <w:szCs w:val="20"/>
                <w:lang w:eastAsia="de-DE"/>
              </w:rPr>
              <w:t>3</w:t>
            </w:r>
            <w:r w:rsidR="00387144" w:rsidRPr="003C0940">
              <w:rPr>
                <w:rFonts w:ascii="Verdana" w:eastAsia="Times New Roman" w:hAnsi="Verdana" w:cs="Arial"/>
                <w:bCs/>
                <w:sz w:val="20"/>
                <w:szCs w:val="20"/>
                <w:lang w:eastAsia="de-DE"/>
              </w:rPr>
              <w:t xml:space="preserve">. </w:t>
            </w:r>
          </w:p>
          <w:p w14:paraId="0908EF98" w14:textId="77777777" w:rsidR="00387144" w:rsidRPr="003C0940" w:rsidRDefault="00387144" w:rsidP="00387144">
            <w:pPr>
              <w:keepNext/>
              <w:snapToGrid w:val="0"/>
              <w:jc w:val="both"/>
              <w:rPr>
                <w:rFonts w:ascii="Verdana" w:eastAsia="Times New Roman" w:hAnsi="Verdana" w:cs="Arial"/>
                <w:bCs/>
                <w:sz w:val="20"/>
                <w:szCs w:val="20"/>
                <w:lang w:eastAsia="de-DE"/>
              </w:rPr>
            </w:pPr>
          </w:p>
          <w:p w14:paraId="6209922E" w14:textId="0C5556F0" w:rsidR="00387144" w:rsidRPr="003C0940" w:rsidRDefault="007A645B" w:rsidP="0088584B">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3</w:t>
            </w:r>
            <w:r w:rsidR="0088584B" w:rsidRPr="003C0940">
              <w:rPr>
                <w:rFonts w:ascii="Verdana" w:eastAsia="Times New Roman" w:hAnsi="Verdana" w:cs="Arial"/>
                <w:b/>
                <w:sz w:val="20"/>
                <w:szCs w:val="20"/>
                <w:lang w:eastAsia="de-DE"/>
              </w:rPr>
              <w:t>.4.</w:t>
            </w:r>
            <w:r w:rsidR="0088584B" w:rsidRPr="003C0940">
              <w:rPr>
                <w:rFonts w:ascii="Verdana" w:eastAsia="Times New Roman" w:hAnsi="Verdana" w:cs="Arial"/>
                <w:bCs/>
                <w:sz w:val="20"/>
                <w:szCs w:val="20"/>
                <w:lang w:eastAsia="de-DE"/>
              </w:rPr>
              <w:t xml:space="preserve"> </w:t>
            </w:r>
            <w:r w:rsidR="00387144" w:rsidRPr="003C0940">
              <w:rPr>
                <w:rFonts w:ascii="Verdana" w:eastAsia="Times New Roman" w:hAnsi="Verdana" w:cs="Arial"/>
                <w:bCs/>
                <w:sz w:val="20"/>
                <w:szCs w:val="20"/>
                <w:lang w:eastAsia="de-DE"/>
              </w:rPr>
              <w:t>Ovaj Aneks</w:t>
            </w:r>
            <w:r w:rsidR="003F2AAC" w:rsidRPr="003C0940">
              <w:rPr>
                <w:rFonts w:ascii="Verdana" w:eastAsia="Times New Roman" w:hAnsi="Verdana" w:cs="Arial"/>
                <w:bCs/>
                <w:sz w:val="20"/>
                <w:szCs w:val="20"/>
                <w:lang w:eastAsia="de-DE"/>
              </w:rPr>
              <w:t xml:space="preserve"> 3</w:t>
            </w:r>
            <w:r w:rsidR="00387144" w:rsidRPr="003C0940">
              <w:rPr>
                <w:rFonts w:ascii="Verdana" w:eastAsia="Times New Roman" w:hAnsi="Verdana" w:cs="Arial"/>
                <w:bCs/>
                <w:sz w:val="20"/>
                <w:szCs w:val="20"/>
                <w:lang w:eastAsia="de-DE"/>
              </w:rPr>
              <w:t xml:space="preserve"> stupa na snagu danom potpisivanja od strane ovlašćenih predstavnika </w:t>
            </w:r>
            <w:r w:rsidR="0088584B" w:rsidRPr="003C0940">
              <w:rPr>
                <w:rFonts w:ascii="Verdana" w:eastAsia="Times New Roman" w:hAnsi="Verdana" w:cs="Arial"/>
                <w:bCs/>
                <w:sz w:val="20"/>
                <w:szCs w:val="20"/>
                <w:lang w:eastAsia="de-DE"/>
              </w:rPr>
              <w:t>Ugovornih strana.</w:t>
            </w:r>
          </w:p>
          <w:p w14:paraId="591FEBC3" w14:textId="77777777" w:rsidR="00387144" w:rsidRPr="003C0940" w:rsidRDefault="00387144" w:rsidP="00387144">
            <w:pPr>
              <w:keepNext/>
              <w:snapToGrid w:val="0"/>
              <w:rPr>
                <w:rFonts w:ascii="Verdana" w:eastAsia="Times New Roman" w:hAnsi="Verdana" w:cs="Arial"/>
                <w:bCs/>
                <w:sz w:val="20"/>
                <w:szCs w:val="20"/>
                <w:lang w:eastAsia="de-DE"/>
              </w:rPr>
            </w:pPr>
          </w:p>
          <w:p w14:paraId="6E537BAD" w14:textId="77777777" w:rsidR="00D01C84" w:rsidRPr="003C0940" w:rsidRDefault="00D01C84" w:rsidP="00387144">
            <w:pPr>
              <w:keepNext/>
              <w:snapToGrid w:val="0"/>
              <w:rPr>
                <w:rFonts w:ascii="Verdana" w:eastAsia="Times New Roman" w:hAnsi="Verdana" w:cs="Arial"/>
                <w:bCs/>
                <w:sz w:val="20"/>
                <w:szCs w:val="20"/>
                <w:lang w:eastAsia="de-DE"/>
              </w:rPr>
            </w:pPr>
          </w:p>
          <w:p w14:paraId="647035BC" w14:textId="1190F0C6" w:rsidR="0088584B" w:rsidRPr="003C0940" w:rsidRDefault="007A645B" w:rsidP="0088584B">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3</w:t>
            </w:r>
            <w:r w:rsidR="0088584B" w:rsidRPr="003C0940">
              <w:rPr>
                <w:rFonts w:ascii="Verdana" w:eastAsia="Times New Roman" w:hAnsi="Verdana" w:cs="Arial"/>
                <w:b/>
                <w:sz w:val="20"/>
                <w:szCs w:val="20"/>
                <w:lang w:eastAsia="de-DE"/>
              </w:rPr>
              <w:t xml:space="preserve">.5. </w:t>
            </w:r>
            <w:r w:rsidR="0088584B" w:rsidRPr="003C0940">
              <w:rPr>
                <w:rFonts w:ascii="Verdana" w:eastAsia="Times New Roman" w:hAnsi="Verdana" w:cs="Arial"/>
                <w:bCs/>
                <w:sz w:val="20"/>
                <w:szCs w:val="20"/>
                <w:lang w:eastAsia="de-DE"/>
              </w:rPr>
              <w:t>Ugovorne strane su saglasne da , ukoliko ovaj Aneks</w:t>
            </w:r>
            <w:r w:rsidR="00253F81" w:rsidRPr="003C0940">
              <w:rPr>
                <w:rFonts w:ascii="Verdana" w:eastAsia="Times New Roman" w:hAnsi="Verdana" w:cs="Arial"/>
                <w:bCs/>
                <w:sz w:val="20"/>
                <w:szCs w:val="20"/>
                <w:lang w:eastAsia="de-DE"/>
              </w:rPr>
              <w:t xml:space="preserve"> 3 </w:t>
            </w:r>
            <w:r w:rsidR="0088584B" w:rsidRPr="003C0940">
              <w:rPr>
                <w:rFonts w:ascii="Verdana" w:eastAsia="Times New Roman" w:hAnsi="Verdana" w:cs="Arial"/>
                <w:bCs/>
                <w:sz w:val="20"/>
                <w:szCs w:val="20"/>
                <w:lang w:eastAsia="de-DE"/>
              </w:rPr>
              <w:t>bude potpisan od strane ovlašćenih predstavnika Ugovornih strana pre donošenja odluke Skupštine opštine Lapovo kojom se daje saglasnost na predmetni Aneks</w:t>
            </w:r>
            <w:r w:rsidR="00253F81" w:rsidRPr="003C0940">
              <w:rPr>
                <w:rFonts w:ascii="Verdana" w:eastAsia="Times New Roman" w:hAnsi="Verdana" w:cs="Arial"/>
                <w:bCs/>
                <w:sz w:val="20"/>
                <w:szCs w:val="20"/>
                <w:lang w:eastAsia="de-DE"/>
              </w:rPr>
              <w:t xml:space="preserve"> 3</w:t>
            </w:r>
            <w:r w:rsidR="0088584B" w:rsidRPr="003C0940">
              <w:rPr>
                <w:rFonts w:ascii="Verdana" w:eastAsia="Times New Roman" w:hAnsi="Verdana" w:cs="Arial"/>
                <w:bCs/>
                <w:sz w:val="20"/>
                <w:szCs w:val="20"/>
                <w:lang w:eastAsia="de-DE"/>
              </w:rPr>
              <w:t xml:space="preserve"> i kojom se ovlašćuje Predsednik opštine Lapovo da ovaj Aneks</w:t>
            </w:r>
            <w:r w:rsidR="00253F81" w:rsidRPr="003C0940">
              <w:rPr>
                <w:rFonts w:ascii="Verdana" w:eastAsia="Times New Roman" w:hAnsi="Verdana" w:cs="Arial"/>
                <w:bCs/>
                <w:sz w:val="20"/>
                <w:szCs w:val="20"/>
                <w:lang w:eastAsia="de-DE"/>
              </w:rPr>
              <w:t xml:space="preserve"> 3</w:t>
            </w:r>
            <w:r w:rsidR="0088584B" w:rsidRPr="003C0940">
              <w:rPr>
                <w:rFonts w:ascii="Verdana" w:eastAsia="Times New Roman" w:hAnsi="Verdana" w:cs="Arial"/>
                <w:bCs/>
                <w:sz w:val="20"/>
                <w:szCs w:val="20"/>
                <w:lang w:eastAsia="de-DE"/>
              </w:rPr>
              <w:t xml:space="preserve"> potpiše, isti stupni na pravnu snagu danom njegovog odobrenja tj. davanja saglasnosti na Aneks </w:t>
            </w:r>
            <w:r w:rsidR="003F2AAC" w:rsidRPr="003C0940">
              <w:rPr>
                <w:rFonts w:ascii="Verdana" w:eastAsia="Times New Roman" w:hAnsi="Verdana" w:cs="Arial"/>
                <w:bCs/>
                <w:sz w:val="20"/>
                <w:szCs w:val="20"/>
                <w:lang w:eastAsia="de-DE"/>
              </w:rPr>
              <w:t xml:space="preserve">3 </w:t>
            </w:r>
            <w:r w:rsidR="0088584B" w:rsidRPr="003C0940">
              <w:rPr>
                <w:rFonts w:ascii="Verdana" w:eastAsia="Times New Roman" w:hAnsi="Verdana" w:cs="Arial"/>
                <w:bCs/>
                <w:sz w:val="20"/>
                <w:szCs w:val="20"/>
                <w:lang w:eastAsia="de-DE"/>
              </w:rPr>
              <w:t>od strane Skupštine opštine Lapovo i ovlašćenjem Predsednika opštine Lapovo da Aneks</w:t>
            </w:r>
            <w:r w:rsidR="003F2AAC" w:rsidRPr="003C0940">
              <w:rPr>
                <w:rFonts w:ascii="Verdana" w:eastAsia="Times New Roman" w:hAnsi="Verdana" w:cs="Arial"/>
                <w:bCs/>
                <w:sz w:val="20"/>
                <w:szCs w:val="20"/>
                <w:lang w:eastAsia="de-DE"/>
              </w:rPr>
              <w:t xml:space="preserve"> 3</w:t>
            </w:r>
            <w:r w:rsidR="0088584B" w:rsidRPr="003C0940">
              <w:rPr>
                <w:rFonts w:ascii="Verdana" w:eastAsia="Times New Roman" w:hAnsi="Verdana" w:cs="Arial"/>
                <w:bCs/>
                <w:sz w:val="20"/>
                <w:szCs w:val="20"/>
                <w:lang w:eastAsia="de-DE"/>
              </w:rPr>
              <w:t xml:space="preserve"> potpiše.</w:t>
            </w:r>
          </w:p>
          <w:p w14:paraId="7BB04BC2" w14:textId="35575161" w:rsidR="00DF5109" w:rsidRPr="003C0940" w:rsidRDefault="00DF5109" w:rsidP="0088584B">
            <w:pPr>
              <w:keepNext/>
              <w:snapToGrid w:val="0"/>
              <w:jc w:val="both"/>
              <w:rPr>
                <w:rFonts w:ascii="Verdana" w:eastAsia="Times New Roman" w:hAnsi="Verdana" w:cs="Arial"/>
                <w:b/>
                <w:sz w:val="20"/>
                <w:szCs w:val="20"/>
                <w:lang w:eastAsia="de-DE"/>
              </w:rPr>
            </w:pPr>
          </w:p>
          <w:p w14:paraId="71D9D279" w14:textId="0FF77854" w:rsidR="00DF5109" w:rsidRPr="003C0940" w:rsidRDefault="007A645B" w:rsidP="0088584B">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3</w:t>
            </w:r>
            <w:r w:rsidR="00DF5109" w:rsidRPr="003C0940">
              <w:rPr>
                <w:rFonts w:ascii="Verdana" w:eastAsia="Times New Roman" w:hAnsi="Verdana" w:cs="Arial"/>
                <w:b/>
                <w:sz w:val="20"/>
                <w:szCs w:val="20"/>
                <w:lang w:eastAsia="de-DE"/>
              </w:rPr>
              <w:t>.6</w:t>
            </w:r>
            <w:r w:rsidR="00DF5109" w:rsidRPr="003C0940">
              <w:rPr>
                <w:rFonts w:ascii="Verdana" w:eastAsia="Times New Roman" w:hAnsi="Verdana" w:cs="Arial"/>
                <w:bCs/>
                <w:sz w:val="20"/>
                <w:szCs w:val="20"/>
                <w:lang w:eastAsia="de-DE"/>
              </w:rPr>
              <w:t xml:space="preserve"> Ovaj Aneks</w:t>
            </w:r>
            <w:r w:rsidR="005E572D" w:rsidRPr="003C0940">
              <w:rPr>
                <w:rFonts w:ascii="Verdana" w:eastAsia="Times New Roman" w:hAnsi="Verdana" w:cs="Arial"/>
                <w:bCs/>
                <w:sz w:val="20"/>
                <w:szCs w:val="20"/>
                <w:lang w:eastAsia="de-DE"/>
              </w:rPr>
              <w:t xml:space="preserve"> 3</w:t>
            </w:r>
            <w:r w:rsidR="00DF5109" w:rsidRPr="003C0940">
              <w:rPr>
                <w:rFonts w:ascii="Verdana" w:eastAsia="Times New Roman" w:hAnsi="Verdana" w:cs="Arial"/>
                <w:bCs/>
                <w:sz w:val="20"/>
                <w:szCs w:val="20"/>
                <w:lang w:eastAsia="de-DE"/>
              </w:rPr>
              <w:t xml:space="preserve"> važi do </w:t>
            </w:r>
            <w:r w:rsidR="00E20938" w:rsidRPr="003C0940">
              <w:rPr>
                <w:rFonts w:ascii="Verdana" w:eastAsia="Times New Roman" w:hAnsi="Verdana" w:cs="Arial"/>
                <w:bCs/>
                <w:sz w:val="20"/>
                <w:szCs w:val="20"/>
                <w:lang w:eastAsia="de-DE"/>
              </w:rPr>
              <w:t>3</w:t>
            </w:r>
            <w:r w:rsidR="0034380C" w:rsidRPr="003C0940">
              <w:rPr>
                <w:rFonts w:ascii="Verdana" w:eastAsia="Times New Roman" w:hAnsi="Verdana" w:cs="Arial"/>
                <w:bCs/>
                <w:sz w:val="20"/>
                <w:szCs w:val="20"/>
                <w:lang w:eastAsia="de-DE"/>
              </w:rPr>
              <w:t>1.12.2025</w:t>
            </w:r>
            <w:r w:rsidR="005E572D" w:rsidRPr="003C0940">
              <w:rPr>
                <w:rFonts w:ascii="Verdana" w:eastAsia="Times New Roman" w:hAnsi="Verdana" w:cs="Arial"/>
                <w:bCs/>
                <w:sz w:val="20"/>
                <w:szCs w:val="20"/>
                <w:lang w:eastAsia="de-DE"/>
              </w:rPr>
              <w:t>. godine</w:t>
            </w:r>
            <w:r w:rsidR="00EC62F1" w:rsidRPr="003C0940">
              <w:rPr>
                <w:rFonts w:ascii="Verdana" w:eastAsia="Times New Roman" w:hAnsi="Verdana" w:cs="Arial"/>
                <w:bCs/>
                <w:sz w:val="20"/>
                <w:szCs w:val="20"/>
                <w:lang w:eastAsia="de-DE"/>
              </w:rPr>
              <w:t>,</w:t>
            </w:r>
            <w:r w:rsidR="00684480" w:rsidRPr="003C0940">
              <w:rPr>
                <w:rFonts w:ascii="Verdana" w:eastAsia="Times New Roman" w:hAnsi="Verdana" w:cs="Arial"/>
                <w:bCs/>
                <w:sz w:val="20"/>
                <w:szCs w:val="20"/>
                <w:lang w:eastAsia="de-DE"/>
              </w:rPr>
              <w:t xml:space="preserve"> a</w:t>
            </w:r>
            <w:r w:rsidR="00FB70A2" w:rsidRPr="003C0940">
              <w:rPr>
                <w:rFonts w:ascii="Verdana" w:eastAsia="Times New Roman" w:hAnsi="Verdana" w:cs="Arial"/>
                <w:bCs/>
                <w:sz w:val="20"/>
                <w:szCs w:val="20"/>
                <w:lang w:eastAsia="de-DE"/>
              </w:rPr>
              <w:t xml:space="preserve"> nakon</w:t>
            </w:r>
            <w:r w:rsidR="00684480" w:rsidRPr="003C0940">
              <w:rPr>
                <w:rFonts w:ascii="Verdana" w:eastAsia="Times New Roman" w:hAnsi="Verdana" w:cs="Arial"/>
                <w:bCs/>
                <w:sz w:val="20"/>
                <w:szCs w:val="20"/>
                <w:lang w:eastAsia="de-DE"/>
              </w:rPr>
              <w:t xml:space="preserve"> </w:t>
            </w:r>
            <w:r w:rsidR="00F81C34" w:rsidRPr="003C0940">
              <w:rPr>
                <w:rFonts w:ascii="Verdana" w:eastAsia="Times New Roman" w:hAnsi="Verdana" w:cs="Arial"/>
                <w:bCs/>
                <w:sz w:val="20"/>
                <w:szCs w:val="20"/>
                <w:lang w:eastAsia="de-DE"/>
              </w:rPr>
              <w:t>što isti stupi na snagu</w:t>
            </w:r>
            <w:r w:rsidR="00684480" w:rsidRPr="003C0940">
              <w:rPr>
                <w:rFonts w:ascii="Verdana" w:eastAsia="Times New Roman" w:hAnsi="Verdana" w:cs="Arial"/>
                <w:bCs/>
                <w:sz w:val="20"/>
                <w:szCs w:val="20"/>
                <w:lang w:eastAsia="de-DE"/>
              </w:rPr>
              <w:t xml:space="preserve"> Ugovorne strane će </w:t>
            </w:r>
            <w:r w:rsidR="0034380C" w:rsidRPr="003C0940">
              <w:rPr>
                <w:rFonts w:ascii="Verdana" w:eastAsia="Times New Roman" w:hAnsi="Verdana" w:cs="Arial"/>
                <w:bCs/>
                <w:sz w:val="20"/>
                <w:szCs w:val="20"/>
                <w:lang w:eastAsia="de-DE"/>
              </w:rPr>
              <w:t>pristupiti pregovorima za potpisivanje</w:t>
            </w:r>
            <w:r w:rsidR="00EC62F1" w:rsidRPr="003C0940">
              <w:rPr>
                <w:rFonts w:ascii="Verdana" w:eastAsia="Times New Roman" w:hAnsi="Verdana" w:cs="Arial"/>
                <w:bCs/>
                <w:sz w:val="20"/>
                <w:szCs w:val="20"/>
                <w:lang w:eastAsia="de-DE"/>
              </w:rPr>
              <w:t xml:space="preserve"> </w:t>
            </w:r>
            <w:r w:rsidR="005E572D" w:rsidRPr="003C0940">
              <w:rPr>
                <w:rFonts w:ascii="Verdana" w:eastAsia="Times New Roman" w:hAnsi="Verdana" w:cs="Arial"/>
                <w:bCs/>
                <w:sz w:val="20"/>
                <w:szCs w:val="20"/>
                <w:lang w:eastAsia="de-DE"/>
              </w:rPr>
              <w:t>nov</w:t>
            </w:r>
            <w:r w:rsidR="0034380C" w:rsidRPr="003C0940">
              <w:rPr>
                <w:rFonts w:ascii="Verdana" w:eastAsia="Times New Roman" w:hAnsi="Verdana" w:cs="Arial"/>
                <w:bCs/>
                <w:sz w:val="20"/>
                <w:szCs w:val="20"/>
                <w:lang w:eastAsia="de-DE"/>
              </w:rPr>
              <w:t xml:space="preserve">og </w:t>
            </w:r>
            <w:r w:rsidR="00EC62F1" w:rsidRPr="003C0940">
              <w:rPr>
                <w:rFonts w:ascii="Verdana" w:eastAsia="Times New Roman" w:hAnsi="Verdana" w:cs="Arial"/>
                <w:bCs/>
                <w:sz w:val="20"/>
                <w:szCs w:val="20"/>
                <w:lang w:eastAsia="de-DE"/>
              </w:rPr>
              <w:t>Ugovor</w:t>
            </w:r>
            <w:r w:rsidR="0034380C" w:rsidRPr="003C0940">
              <w:rPr>
                <w:rFonts w:ascii="Verdana" w:eastAsia="Times New Roman" w:hAnsi="Verdana" w:cs="Arial"/>
                <w:bCs/>
                <w:sz w:val="20"/>
                <w:szCs w:val="20"/>
                <w:lang w:eastAsia="de-DE"/>
              </w:rPr>
              <w:t>a</w:t>
            </w:r>
            <w:r w:rsidR="00EC62F1" w:rsidRPr="003C0940">
              <w:rPr>
                <w:rFonts w:ascii="Verdana" w:eastAsia="Times New Roman" w:hAnsi="Verdana" w:cs="Arial"/>
                <w:bCs/>
                <w:sz w:val="20"/>
                <w:szCs w:val="20"/>
                <w:lang w:eastAsia="de-DE"/>
              </w:rPr>
              <w:t xml:space="preserve"> o sakupljanju otpada sa početkom važenja od </w:t>
            </w:r>
            <w:r w:rsidR="00E20938" w:rsidRPr="003C0940">
              <w:rPr>
                <w:rFonts w:ascii="Verdana" w:eastAsia="Times New Roman" w:hAnsi="Verdana" w:cs="Arial"/>
                <w:bCs/>
                <w:sz w:val="20"/>
                <w:szCs w:val="20"/>
                <w:lang w:eastAsia="de-DE"/>
              </w:rPr>
              <w:t>01</w:t>
            </w:r>
            <w:r w:rsidR="005E572D" w:rsidRPr="003C0940">
              <w:rPr>
                <w:rFonts w:ascii="Verdana" w:eastAsia="Times New Roman" w:hAnsi="Verdana" w:cs="Arial"/>
                <w:bCs/>
                <w:sz w:val="20"/>
                <w:szCs w:val="20"/>
                <w:lang w:eastAsia="de-DE"/>
              </w:rPr>
              <w:t>.0</w:t>
            </w:r>
            <w:r w:rsidR="0034380C" w:rsidRPr="003C0940">
              <w:rPr>
                <w:rFonts w:ascii="Verdana" w:eastAsia="Times New Roman" w:hAnsi="Verdana" w:cs="Arial"/>
                <w:bCs/>
                <w:sz w:val="20"/>
                <w:szCs w:val="20"/>
                <w:lang w:eastAsia="de-DE"/>
              </w:rPr>
              <w:t>1</w:t>
            </w:r>
            <w:r w:rsidR="005E572D" w:rsidRPr="003C0940">
              <w:rPr>
                <w:rFonts w:ascii="Verdana" w:eastAsia="Times New Roman" w:hAnsi="Verdana" w:cs="Arial"/>
                <w:bCs/>
                <w:sz w:val="20"/>
                <w:szCs w:val="20"/>
                <w:lang w:eastAsia="de-DE"/>
              </w:rPr>
              <w:t>.2026. godine.</w:t>
            </w:r>
          </w:p>
          <w:p w14:paraId="42AAB3DA" w14:textId="064AB13B" w:rsidR="00D01C84" w:rsidRPr="003C0940" w:rsidRDefault="00D01C84" w:rsidP="00387144">
            <w:pPr>
              <w:keepNext/>
              <w:snapToGrid w:val="0"/>
              <w:rPr>
                <w:rFonts w:ascii="Verdana" w:eastAsia="Times New Roman" w:hAnsi="Verdana" w:cs="Arial"/>
                <w:bCs/>
                <w:sz w:val="20"/>
                <w:szCs w:val="20"/>
                <w:lang w:eastAsia="de-DE"/>
              </w:rPr>
            </w:pPr>
          </w:p>
          <w:p w14:paraId="62776ADC" w14:textId="77777777" w:rsidR="007A645B" w:rsidRPr="003C0940" w:rsidRDefault="007A645B" w:rsidP="00387144">
            <w:pPr>
              <w:keepNext/>
              <w:snapToGrid w:val="0"/>
              <w:rPr>
                <w:rFonts w:ascii="Verdana" w:eastAsia="Times New Roman" w:hAnsi="Verdana" w:cs="Arial"/>
                <w:bCs/>
                <w:sz w:val="20"/>
                <w:szCs w:val="20"/>
                <w:lang w:eastAsia="de-DE"/>
              </w:rPr>
            </w:pPr>
          </w:p>
          <w:p w14:paraId="593D0693" w14:textId="4E3739C5" w:rsidR="0088584B" w:rsidRPr="003C0940" w:rsidRDefault="0088584B" w:rsidP="00387144">
            <w:pPr>
              <w:keepNext/>
              <w:snapToGrid w:val="0"/>
              <w:rPr>
                <w:rFonts w:ascii="Verdana" w:eastAsia="Times New Roman" w:hAnsi="Verdana" w:cs="Arial"/>
                <w:b/>
                <w:sz w:val="20"/>
                <w:szCs w:val="20"/>
                <w:lang w:eastAsia="de-DE"/>
              </w:rPr>
            </w:pPr>
            <w:r w:rsidRPr="003C0940">
              <w:rPr>
                <w:rFonts w:ascii="Verdana" w:eastAsia="Times New Roman" w:hAnsi="Verdana" w:cs="Arial"/>
                <w:b/>
                <w:sz w:val="20"/>
                <w:szCs w:val="20"/>
                <w:lang w:eastAsia="de-DE"/>
              </w:rPr>
              <w:t>III ZAVRŠNE ODREDBE</w:t>
            </w:r>
          </w:p>
          <w:p w14:paraId="7A02E054" w14:textId="77777777" w:rsidR="0088584B" w:rsidRPr="003C0940" w:rsidRDefault="0088584B" w:rsidP="00387144">
            <w:pPr>
              <w:keepNext/>
              <w:snapToGrid w:val="0"/>
              <w:rPr>
                <w:rFonts w:ascii="Verdana" w:eastAsia="Times New Roman" w:hAnsi="Verdana" w:cs="Arial"/>
                <w:bCs/>
                <w:sz w:val="20"/>
                <w:szCs w:val="20"/>
                <w:lang w:eastAsia="de-DE"/>
              </w:rPr>
            </w:pPr>
          </w:p>
          <w:p w14:paraId="49E9D325" w14:textId="738E48D0" w:rsidR="0088584B" w:rsidRPr="003C0940" w:rsidRDefault="0088584B" w:rsidP="0088584B">
            <w:pPr>
              <w:keepNext/>
              <w:snapToGrid w:val="0"/>
              <w:jc w:val="center"/>
              <w:rPr>
                <w:rFonts w:ascii="Verdana" w:eastAsia="Times New Roman" w:hAnsi="Verdana" w:cs="Arial"/>
                <w:b/>
                <w:sz w:val="20"/>
                <w:szCs w:val="20"/>
                <w:lang w:eastAsia="de-DE"/>
              </w:rPr>
            </w:pPr>
            <w:r w:rsidRPr="003C0940">
              <w:rPr>
                <w:rFonts w:ascii="Verdana" w:eastAsia="Times New Roman" w:hAnsi="Verdana" w:cs="Arial"/>
                <w:b/>
                <w:sz w:val="20"/>
                <w:szCs w:val="20"/>
                <w:lang w:eastAsia="de-DE"/>
              </w:rPr>
              <w:t xml:space="preserve">Član </w:t>
            </w:r>
            <w:r w:rsidR="007A645B" w:rsidRPr="003C0940">
              <w:rPr>
                <w:rFonts w:ascii="Verdana" w:eastAsia="Times New Roman" w:hAnsi="Verdana" w:cs="Arial"/>
                <w:b/>
                <w:sz w:val="20"/>
                <w:szCs w:val="20"/>
                <w:lang w:eastAsia="de-DE"/>
              </w:rPr>
              <w:t>4</w:t>
            </w:r>
          </w:p>
          <w:p w14:paraId="2512E468" w14:textId="77777777" w:rsidR="0088584B" w:rsidRPr="003C0940" w:rsidRDefault="0088584B" w:rsidP="0088584B">
            <w:pPr>
              <w:keepNext/>
              <w:snapToGrid w:val="0"/>
              <w:jc w:val="center"/>
              <w:rPr>
                <w:rFonts w:ascii="Verdana" w:eastAsia="Times New Roman" w:hAnsi="Verdana" w:cs="Arial"/>
                <w:b/>
                <w:sz w:val="20"/>
                <w:szCs w:val="20"/>
                <w:lang w:eastAsia="de-DE"/>
              </w:rPr>
            </w:pPr>
          </w:p>
          <w:p w14:paraId="3953DCC8" w14:textId="2DC85B42" w:rsidR="0088584B" w:rsidRPr="003C0940" w:rsidRDefault="007A645B" w:rsidP="0088584B">
            <w:pPr>
              <w:keepNext/>
              <w:snapToGrid w:val="0"/>
              <w:jc w:val="both"/>
              <w:rPr>
                <w:rFonts w:ascii="Verdana" w:eastAsia="Times New Roman" w:hAnsi="Verdana" w:cs="Arial"/>
                <w:bCs/>
                <w:sz w:val="20"/>
                <w:szCs w:val="20"/>
                <w:lang w:eastAsia="de-DE"/>
              </w:rPr>
            </w:pPr>
            <w:r w:rsidRPr="003C0940">
              <w:rPr>
                <w:rFonts w:ascii="Verdana" w:eastAsia="Times New Roman" w:hAnsi="Verdana" w:cs="Arial"/>
                <w:b/>
                <w:sz w:val="20"/>
                <w:szCs w:val="20"/>
                <w:lang w:eastAsia="de-DE"/>
              </w:rPr>
              <w:t>4</w:t>
            </w:r>
            <w:r w:rsidR="0088584B" w:rsidRPr="003C0940">
              <w:rPr>
                <w:rFonts w:ascii="Verdana" w:eastAsia="Times New Roman" w:hAnsi="Verdana" w:cs="Arial"/>
                <w:b/>
                <w:sz w:val="20"/>
                <w:szCs w:val="20"/>
                <w:lang w:eastAsia="de-DE"/>
              </w:rPr>
              <w:t>.1.</w:t>
            </w:r>
            <w:r w:rsidR="0088584B" w:rsidRPr="003C0940">
              <w:rPr>
                <w:rFonts w:ascii="Verdana" w:eastAsia="Times New Roman" w:hAnsi="Verdana" w:cs="Arial"/>
                <w:bCs/>
                <w:sz w:val="20"/>
                <w:szCs w:val="20"/>
                <w:lang w:eastAsia="de-DE"/>
              </w:rPr>
              <w:t xml:space="preserve"> Ovaj Aneks </w:t>
            </w:r>
            <w:r w:rsidR="00E20938" w:rsidRPr="003C0940">
              <w:rPr>
                <w:rFonts w:ascii="Verdana" w:eastAsia="Times New Roman" w:hAnsi="Verdana" w:cs="Arial"/>
                <w:bCs/>
                <w:sz w:val="20"/>
                <w:szCs w:val="20"/>
                <w:lang w:eastAsia="de-DE"/>
              </w:rPr>
              <w:t>3</w:t>
            </w:r>
            <w:r w:rsidR="0088584B" w:rsidRPr="003C0940">
              <w:rPr>
                <w:rFonts w:ascii="Verdana" w:eastAsia="Times New Roman" w:hAnsi="Verdana" w:cs="Arial"/>
                <w:bCs/>
                <w:sz w:val="20"/>
                <w:szCs w:val="20"/>
                <w:lang w:eastAsia="de-DE"/>
              </w:rPr>
              <w:t xml:space="preserve"> predstavlja sastavni deo osnovnog Ugovora o sakupljanju otpada sa pripadajućim</w:t>
            </w:r>
            <w:r w:rsidR="000C0D67" w:rsidRPr="003C0940">
              <w:rPr>
                <w:rFonts w:ascii="Verdana" w:eastAsia="Times New Roman" w:hAnsi="Verdana" w:cs="Arial"/>
                <w:bCs/>
                <w:sz w:val="20"/>
                <w:szCs w:val="20"/>
                <w:lang w:eastAsia="de-DE"/>
              </w:rPr>
              <w:t xml:space="preserve"> Prilogom 1 (Cenovnik) – redovne usluge sakupljanja komunalnog otpada, Prilogom 2 (Cenovnik) – </w:t>
            </w:r>
            <w:r w:rsidR="00687C3D" w:rsidRPr="003C0940">
              <w:rPr>
                <w:rFonts w:ascii="Verdana" w:eastAsia="Times New Roman" w:hAnsi="Verdana" w:cs="Arial"/>
                <w:bCs/>
                <w:sz w:val="20"/>
                <w:szCs w:val="20"/>
                <w:lang w:eastAsia="de-DE"/>
              </w:rPr>
              <w:t xml:space="preserve">dodatne usluge, </w:t>
            </w:r>
            <w:r w:rsidRPr="003C0940">
              <w:rPr>
                <w:rFonts w:ascii="Verdana" w:eastAsia="Times New Roman" w:hAnsi="Verdana" w:cs="Arial"/>
                <w:bCs/>
                <w:sz w:val="20"/>
                <w:szCs w:val="20"/>
                <w:lang w:eastAsia="de-DE"/>
              </w:rPr>
              <w:t>pojedinačno ugovorene usluge</w:t>
            </w:r>
            <w:r w:rsidR="000C0D67" w:rsidRPr="003C0940">
              <w:rPr>
                <w:rFonts w:ascii="Verdana" w:eastAsia="Times New Roman" w:hAnsi="Verdana" w:cs="Arial"/>
                <w:bCs/>
                <w:sz w:val="20"/>
                <w:szCs w:val="20"/>
                <w:lang w:eastAsia="de-DE"/>
              </w:rPr>
              <w:t xml:space="preserve"> sakupljanja komunalnog otpada i</w:t>
            </w:r>
            <w:r w:rsidR="0088584B" w:rsidRPr="003C0940">
              <w:rPr>
                <w:rFonts w:ascii="Verdana" w:eastAsia="Times New Roman" w:hAnsi="Verdana" w:cs="Arial"/>
                <w:bCs/>
                <w:sz w:val="20"/>
                <w:szCs w:val="20"/>
                <w:lang w:eastAsia="de-DE"/>
              </w:rPr>
              <w:t xml:space="preserve"> Prilogom </w:t>
            </w:r>
            <w:r w:rsidR="000C0D67" w:rsidRPr="003C0940">
              <w:rPr>
                <w:rFonts w:ascii="Verdana" w:eastAsia="Times New Roman" w:hAnsi="Verdana" w:cs="Arial"/>
                <w:bCs/>
                <w:sz w:val="20"/>
                <w:szCs w:val="20"/>
                <w:lang w:eastAsia="de-DE"/>
              </w:rPr>
              <w:t>3</w:t>
            </w:r>
            <w:r w:rsidR="0088584B" w:rsidRPr="003C0940">
              <w:rPr>
                <w:rFonts w:ascii="Verdana" w:eastAsia="Times New Roman" w:hAnsi="Verdana" w:cs="Arial"/>
                <w:bCs/>
                <w:sz w:val="20"/>
                <w:szCs w:val="20"/>
                <w:lang w:eastAsia="de-DE"/>
              </w:rPr>
              <w:t xml:space="preserve"> (Plan sakupljanja otpada – Rute)</w:t>
            </w:r>
            <w:r w:rsidR="000C0D67" w:rsidRPr="003C0940">
              <w:rPr>
                <w:rFonts w:ascii="Verdana" w:eastAsia="Times New Roman" w:hAnsi="Verdana" w:cs="Arial"/>
                <w:bCs/>
                <w:sz w:val="20"/>
                <w:szCs w:val="20"/>
                <w:lang w:eastAsia="de-DE"/>
              </w:rPr>
              <w:t>.</w:t>
            </w:r>
          </w:p>
          <w:p w14:paraId="5B9C4E51" w14:textId="77777777" w:rsidR="00D01C84" w:rsidRPr="003C0940" w:rsidRDefault="00D01C84" w:rsidP="00387144">
            <w:pPr>
              <w:keepNext/>
              <w:snapToGrid w:val="0"/>
              <w:rPr>
                <w:rFonts w:ascii="Verdana" w:eastAsia="Times New Roman" w:hAnsi="Verdana" w:cs="Arial"/>
                <w:bCs/>
                <w:sz w:val="20"/>
                <w:szCs w:val="20"/>
                <w:lang w:eastAsia="de-DE"/>
              </w:rPr>
            </w:pPr>
          </w:p>
          <w:p w14:paraId="2BF25AB8" w14:textId="5C1EA43A" w:rsidR="0088584B" w:rsidRPr="003C0940" w:rsidRDefault="00B266F6" w:rsidP="00B266F6">
            <w:pPr>
              <w:keepNext/>
              <w:snapToGrid w:val="0"/>
              <w:jc w:val="center"/>
              <w:rPr>
                <w:rFonts w:ascii="Verdana" w:eastAsia="Times New Roman" w:hAnsi="Verdana" w:cs="Arial"/>
                <w:b/>
                <w:sz w:val="20"/>
                <w:szCs w:val="20"/>
                <w:lang w:eastAsia="de-DE"/>
              </w:rPr>
            </w:pPr>
            <w:r w:rsidRPr="003C0940">
              <w:rPr>
                <w:rFonts w:ascii="Verdana" w:eastAsia="Times New Roman" w:hAnsi="Verdana" w:cs="Arial"/>
                <w:b/>
                <w:sz w:val="20"/>
                <w:szCs w:val="20"/>
                <w:lang w:eastAsia="de-DE"/>
              </w:rPr>
              <w:t xml:space="preserve">Član </w:t>
            </w:r>
            <w:r w:rsidR="007A645B" w:rsidRPr="003C0940">
              <w:rPr>
                <w:rFonts w:ascii="Verdana" w:eastAsia="Times New Roman" w:hAnsi="Verdana" w:cs="Arial"/>
                <w:b/>
                <w:sz w:val="20"/>
                <w:szCs w:val="20"/>
                <w:lang w:eastAsia="de-DE"/>
              </w:rPr>
              <w:t>5</w:t>
            </w:r>
          </w:p>
          <w:p w14:paraId="42059B18" w14:textId="77777777" w:rsidR="00B266F6" w:rsidRPr="003C0940" w:rsidRDefault="00B266F6" w:rsidP="00B266F6">
            <w:pPr>
              <w:keepNext/>
              <w:snapToGrid w:val="0"/>
              <w:jc w:val="center"/>
              <w:rPr>
                <w:rFonts w:ascii="Verdana" w:eastAsia="Times New Roman" w:hAnsi="Verdana" w:cs="Arial"/>
                <w:b/>
                <w:sz w:val="20"/>
                <w:szCs w:val="20"/>
                <w:lang w:eastAsia="de-DE"/>
              </w:rPr>
            </w:pPr>
          </w:p>
          <w:p w14:paraId="0D22EB0B" w14:textId="7DB47106" w:rsidR="0088584B" w:rsidRPr="003C0940" w:rsidRDefault="00B266F6" w:rsidP="00B266F6">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 xml:space="preserve">Osim ako nije drugačije određeno u ovom Aneksu </w:t>
            </w:r>
            <w:r w:rsidR="00B343A9" w:rsidRPr="003C0940">
              <w:rPr>
                <w:rFonts w:ascii="Verdana" w:eastAsia="Times New Roman" w:hAnsi="Verdana" w:cs="Arial"/>
                <w:bCs/>
                <w:sz w:val="20"/>
                <w:szCs w:val="20"/>
                <w:lang w:eastAsia="de-DE"/>
              </w:rPr>
              <w:t>3</w:t>
            </w:r>
            <w:r w:rsidRPr="003C0940">
              <w:rPr>
                <w:rFonts w:ascii="Verdana" w:eastAsia="Times New Roman" w:hAnsi="Verdana" w:cs="Arial"/>
                <w:bCs/>
                <w:sz w:val="20"/>
                <w:szCs w:val="20"/>
                <w:lang w:eastAsia="de-DE"/>
              </w:rPr>
              <w:t>, sve ostale odredbe Ugovora ostaju nepromenjene i u punoj pravnoj snazi.</w:t>
            </w:r>
          </w:p>
          <w:p w14:paraId="2E24D2F3" w14:textId="77777777" w:rsidR="00B266F6" w:rsidRPr="003C0940" w:rsidRDefault="00B266F6" w:rsidP="00B266F6">
            <w:pPr>
              <w:keepNext/>
              <w:snapToGrid w:val="0"/>
              <w:jc w:val="both"/>
              <w:rPr>
                <w:rFonts w:ascii="Verdana" w:eastAsia="Times New Roman" w:hAnsi="Verdana" w:cs="Arial"/>
                <w:bCs/>
                <w:sz w:val="20"/>
                <w:szCs w:val="20"/>
                <w:lang w:eastAsia="de-DE"/>
              </w:rPr>
            </w:pPr>
          </w:p>
          <w:p w14:paraId="629A96BC" w14:textId="38BC0478" w:rsidR="00B266F6" w:rsidRPr="003C0940" w:rsidRDefault="00B266F6" w:rsidP="00B266F6">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 xml:space="preserve">Ovaj Aneks </w:t>
            </w:r>
            <w:r w:rsidR="00B343A9" w:rsidRPr="003C0940">
              <w:rPr>
                <w:rFonts w:ascii="Verdana" w:eastAsia="Times New Roman" w:hAnsi="Verdana" w:cs="Arial"/>
                <w:bCs/>
                <w:sz w:val="20"/>
                <w:szCs w:val="20"/>
                <w:lang w:eastAsia="de-DE"/>
              </w:rPr>
              <w:t>3</w:t>
            </w:r>
            <w:r w:rsidRPr="003C0940">
              <w:rPr>
                <w:rFonts w:ascii="Verdana" w:eastAsia="Times New Roman" w:hAnsi="Verdana" w:cs="Arial"/>
                <w:bCs/>
                <w:sz w:val="20"/>
                <w:szCs w:val="20"/>
                <w:lang w:eastAsia="de-DE"/>
              </w:rPr>
              <w:t xml:space="preserve"> je sačinjen na srpskom i engleskom jeziku. U slučaju neslaganja, verzija na srpskom jeziku će biti preovlađujuća.</w:t>
            </w:r>
          </w:p>
          <w:p w14:paraId="2235EC9B" w14:textId="77777777" w:rsidR="00B266F6" w:rsidRPr="003C0940" w:rsidRDefault="00B266F6" w:rsidP="00B266F6">
            <w:pPr>
              <w:keepNext/>
              <w:snapToGrid w:val="0"/>
              <w:jc w:val="both"/>
              <w:rPr>
                <w:rFonts w:ascii="Verdana" w:eastAsia="Times New Roman" w:hAnsi="Verdana" w:cs="Arial"/>
                <w:bCs/>
                <w:sz w:val="20"/>
                <w:szCs w:val="20"/>
                <w:lang w:eastAsia="de-DE"/>
              </w:rPr>
            </w:pPr>
          </w:p>
          <w:p w14:paraId="0C45F234" w14:textId="7387C37A" w:rsidR="00B266F6" w:rsidRPr="003C0940" w:rsidRDefault="00B266F6" w:rsidP="00B266F6">
            <w:pPr>
              <w:keepNext/>
              <w:snapToGrid w:val="0"/>
              <w:jc w:val="center"/>
              <w:rPr>
                <w:rFonts w:ascii="Verdana" w:eastAsia="Times New Roman" w:hAnsi="Verdana" w:cs="Arial"/>
                <w:b/>
                <w:sz w:val="20"/>
                <w:szCs w:val="20"/>
                <w:lang w:eastAsia="de-DE"/>
              </w:rPr>
            </w:pPr>
            <w:r w:rsidRPr="003C0940">
              <w:rPr>
                <w:rFonts w:ascii="Verdana" w:eastAsia="Times New Roman" w:hAnsi="Verdana" w:cs="Arial"/>
                <w:b/>
                <w:sz w:val="20"/>
                <w:szCs w:val="20"/>
                <w:lang w:eastAsia="de-DE"/>
              </w:rPr>
              <w:lastRenderedPageBreak/>
              <w:t xml:space="preserve">Član </w:t>
            </w:r>
            <w:r w:rsidR="007A645B" w:rsidRPr="003C0940">
              <w:rPr>
                <w:rFonts w:ascii="Verdana" w:eastAsia="Times New Roman" w:hAnsi="Verdana" w:cs="Arial"/>
                <w:b/>
                <w:sz w:val="20"/>
                <w:szCs w:val="20"/>
                <w:lang w:eastAsia="de-DE"/>
              </w:rPr>
              <w:t>6</w:t>
            </w:r>
          </w:p>
          <w:p w14:paraId="6938D174" w14:textId="77777777" w:rsidR="00B266F6" w:rsidRPr="003C0940" w:rsidRDefault="00B266F6" w:rsidP="00B266F6">
            <w:pPr>
              <w:keepNext/>
              <w:snapToGrid w:val="0"/>
              <w:jc w:val="center"/>
              <w:rPr>
                <w:rFonts w:ascii="Verdana" w:eastAsia="Times New Roman" w:hAnsi="Verdana" w:cs="Arial"/>
                <w:b/>
                <w:sz w:val="20"/>
                <w:szCs w:val="20"/>
                <w:lang w:eastAsia="de-DE"/>
              </w:rPr>
            </w:pPr>
          </w:p>
          <w:p w14:paraId="716B9042" w14:textId="5F345C7C" w:rsidR="00B266F6" w:rsidRPr="003C0940" w:rsidRDefault="008A294E" w:rsidP="008A294E">
            <w:pPr>
              <w:keepNext/>
              <w:snapToGrid w:val="0"/>
              <w:jc w:val="both"/>
              <w:rPr>
                <w:rFonts w:ascii="Verdana" w:eastAsia="Times New Roman" w:hAnsi="Verdana" w:cs="Arial"/>
                <w:bCs/>
                <w:sz w:val="20"/>
                <w:szCs w:val="20"/>
                <w:lang w:eastAsia="de-DE"/>
              </w:rPr>
            </w:pPr>
            <w:r w:rsidRPr="003C0940">
              <w:rPr>
                <w:rFonts w:ascii="Verdana" w:eastAsia="Times New Roman" w:hAnsi="Verdana" w:cs="Arial"/>
                <w:bCs/>
                <w:sz w:val="20"/>
                <w:szCs w:val="20"/>
                <w:lang w:eastAsia="de-DE"/>
              </w:rPr>
              <w:t xml:space="preserve">Ovaj Aneks </w:t>
            </w:r>
            <w:r w:rsidR="00B343A9" w:rsidRPr="003C0940">
              <w:rPr>
                <w:rFonts w:ascii="Verdana" w:eastAsia="Times New Roman" w:hAnsi="Verdana" w:cs="Arial"/>
                <w:bCs/>
                <w:sz w:val="20"/>
                <w:szCs w:val="20"/>
                <w:lang w:eastAsia="de-DE"/>
              </w:rPr>
              <w:t>3</w:t>
            </w:r>
            <w:r w:rsidRPr="003C0940">
              <w:rPr>
                <w:rFonts w:ascii="Verdana" w:eastAsia="Times New Roman" w:hAnsi="Verdana" w:cs="Arial"/>
                <w:bCs/>
                <w:sz w:val="20"/>
                <w:szCs w:val="20"/>
                <w:lang w:eastAsia="de-DE"/>
              </w:rPr>
              <w:t xml:space="preserve"> je potpisan u 4 (četiri) identična primerka, po 2 (dva) za svaku Ugovornu stranu.</w:t>
            </w:r>
          </w:p>
          <w:p w14:paraId="7C7D96BF" w14:textId="77777777" w:rsidR="0088584B" w:rsidRPr="003C0940" w:rsidRDefault="0088584B" w:rsidP="00387144">
            <w:pPr>
              <w:keepNext/>
              <w:snapToGrid w:val="0"/>
              <w:rPr>
                <w:rFonts w:ascii="Verdana" w:eastAsia="Times New Roman" w:hAnsi="Verdana" w:cs="Arial"/>
                <w:bCs/>
                <w:sz w:val="20"/>
                <w:szCs w:val="20"/>
                <w:lang w:eastAsia="de-DE"/>
              </w:rPr>
            </w:pPr>
          </w:p>
          <w:p w14:paraId="6BEC386C" w14:textId="2B5EE878" w:rsidR="007E59D7" w:rsidRPr="003C0940" w:rsidRDefault="00D53291">
            <w:pPr>
              <w:jc w:val="both"/>
              <w:rPr>
                <w:rFonts w:ascii="Verdana" w:hAnsi="Verdana"/>
                <w:sz w:val="20"/>
                <w:szCs w:val="20"/>
              </w:rPr>
            </w:pPr>
            <w:r w:rsidRPr="003C0940">
              <w:rPr>
                <w:rFonts w:ascii="Verdana" w:hAnsi="Verdana"/>
                <w:sz w:val="20"/>
                <w:szCs w:val="20"/>
              </w:rPr>
              <w:t xml:space="preserve">U Lapovu, dana </w:t>
            </w:r>
            <w:r w:rsidR="0034380C" w:rsidRPr="003C0940">
              <w:rPr>
                <w:rFonts w:ascii="Verdana" w:hAnsi="Verdana"/>
                <w:sz w:val="20"/>
                <w:szCs w:val="20"/>
              </w:rPr>
              <w:t>01.08.2025</w:t>
            </w:r>
            <w:r w:rsidR="00B10E65" w:rsidRPr="003C0940">
              <w:rPr>
                <w:rFonts w:ascii="Verdana" w:hAnsi="Verdana"/>
                <w:sz w:val="20"/>
                <w:szCs w:val="20"/>
              </w:rPr>
              <w:t>. godine</w:t>
            </w:r>
          </w:p>
          <w:p w14:paraId="603D668B" w14:textId="77777777" w:rsidR="007E59D7" w:rsidRPr="003C0940" w:rsidRDefault="007E59D7">
            <w:pPr>
              <w:jc w:val="both"/>
              <w:rPr>
                <w:rFonts w:ascii="Verdana" w:hAnsi="Verdana"/>
                <w:b/>
                <w:bCs/>
                <w:sz w:val="20"/>
                <w:szCs w:val="20"/>
              </w:rPr>
            </w:pPr>
          </w:p>
          <w:p w14:paraId="26291D10" w14:textId="77777777" w:rsidR="007E59D7" w:rsidRPr="003C0940" w:rsidRDefault="007E59D7">
            <w:pPr>
              <w:jc w:val="both"/>
              <w:rPr>
                <w:rFonts w:ascii="Verdana" w:hAnsi="Verdana"/>
                <w:b/>
                <w:bCs/>
                <w:sz w:val="20"/>
                <w:szCs w:val="20"/>
              </w:rPr>
            </w:pPr>
          </w:p>
          <w:p w14:paraId="29CCAB34" w14:textId="4257EE4A" w:rsidR="00326D76" w:rsidRPr="003C0940" w:rsidRDefault="00326D76">
            <w:pPr>
              <w:jc w:val="both"/>
              <w:rPr>
                <w:rFonts w:ascii="Verdana" w:hAnsi="Verdana"/>
                <w:b/>
                <w:bCs/>
                <w:sz w:val="20"/>
                <w:szCs w:val="20"/>
              </w:rPr>
            </w:pPr>
            <w:r w:rsidRPr="003C0940">
              <w:rPr>
                <w:rFonts w:ascii="Verdana" w:hAnsi="Verdana"/>
                <w:b/>
                <w:bCs/>
                <w:sz w:val="20"/>
                <w:szCs w:val="20"/>
              </w:rPr>
              <w:t>OPŠTINA LAPOVO (Klijent</w:t>
            </w:r>
            <w:r w:rsidR="00B10E65" w:rsidRPr="003C0940">
              <w:rPr>
                <w:rFonts w:ascii="Verdana" w:hAnsi="Verdana"/>
                <w:b/>
                <w:bCs/>
                <w:sz w:val="20"/>
                <w:szCs w:val="20"/>
              </w:rPr>
              <w:t>/Client</w:t>
            </w:r>
            <w:r w:rsidRPr="003C0940">
              <w:rPr>
                <w:rFonts w:ascii="Verdana" w:hAnsi="Verdana"/>
                <w:b/>
                <w:bCs/>
                <w:sz w:val="20"/>
                <w:szCs w:val="20"/>
              </w:rPr>
              <w:t>)</w:t>
            </w:r>
          </w:p>
          <w:p w14:paraId="02003979" w14:textId="77777777" w:rsidR="00326D76" w:rsidRPr="003C0940" w:rsidRDefault="00326D76">
            <w:pPr>
              <w:jc w:val="both"/>
              <w:rPr>
                <w:rFonts w:ascii="Verdana" w:hAnsi="Verdana"/>
                <w:sz w:val="20"/>
                <w:szCs w:val="20"/>
              </w:rPr>
            </w:pPr>
          </w:p>
          <w:p w14:paraId="4C41D539" w14:textId="77777777" w:rsidR="00326D76" w:rsidRPr="003C0940" w:rsidRDefault="00326D76">
            <w:pPr>
              <w:jc w:val="both"/>
              <w:rPr>
                <w:rFonts w:ascii="Verdana" w:hAnsi="Verdana"/>
                <w:sz w:val="20"/>
                <w:szCs w:val="20"/>
              </w:rPr>
            </w:pPr>
          </w:p>
          <w:p w14:paraId="666B49D4" w14:textId="77777777" w:rsidR="00326D76" w:rsidRPr="003C0940" w:rsidRDefault="00326D76">
            <w:pPr>
              <w:jc w:val="both"/>
              <w:rPr>
                <w:rFonts w:ascii="Verdana" w:hAnsi="Verdana"/>
                <w:sz w:val="20"/>
                <w:szCs w:val="20"/>
              </w:rPr>
            </w:pPr>
            <w:r w:rsidRPr="003C0940">
              <w:rPr>
                <w:rFonts w:ascii="Verdana" w:hAnsi="Verdana"/>
                <w:sz w:val="20"/>
                <w:szCs w:val="20"/>
              </w:rPr>
              <w:t>____________________________________</w:t>
            </w:r>
          </w:p>
          <w:p w14:paraId="45F6FE62" w14:textId="1642EE28" w:rsidR="00326D76" w:rsidRPr="003C0940" w:rsidRDefault="00326D76">
            <w:pPr>
              <w:jc w:val="both"/>
              <w:rPr>
                <w:rFonts w:ascii="Verdana" w:hAnsi="Verdana"/>
                <w:sz w:val="20"/>
                <w:szCs w:val="20"/>
              </w:rPr>
            </w:pPr>
            <w:r w:rsidRPr="003C0940">
              <w:rPr>
                <w:rFonts w:ascii="Verdana" w:hAnsi="Verdana"/>
                <w:sz w:val="20"/>
                <w:szCs w:val="20"/>
              </w:rPr>
              <w:t>Boban Miličić</w:t>
            </w:r>
          </w:p>
          <w:p w14:paraId="2FA5EDF5" w14:textId="7C9FD9C6" w:rsidR="00B10E65" w:rsidRPr="003C0940" w:rsidRDefault="00B10E65">
            <w:pPr>
              <w:jc w:val="both"/>
              <w:rPr>
                <w:rFonts w:ascii="Verdana" w:hAnsi="Verdana"/>
                <w:sz w:val="20"/>
                <w:szCs w:val="20"/>
              </w:rPr>
            </w:pPr>
            <w:r w:rsidRPr="003C0940">
              <w:rPr>
                <w:rFonts w:ascii="Verdana" w:hAnsi="Verdana"/>
                <w:sz w:val="20"/>
                <w:szCs w:val="20"/>
              </w:rPr>
              <w:t>Predsednik opštine/</w:t>
            </w:r>
            <w:r w:rsidRPr="003C0940">
              <w:rPr>
                <w:rFonts w:ascii="Verdana" w:eastAsia="Times New Roman" w:hAnsi="Verdana" w:cs="Arial"/>
                <w:sz w:val="20"/>
                <w:szCs w:val="20"/>
                <w:lang w:val="en-US" w:eastAsia="de-DE"/>
              </w:rPr>
              <w:t>Mayor of the Municipality</w:t>
            </w:r>
          </w:p>
          <w:p w14:paraId="5518D186" w14:textId="77777777" w:rsidR="00326D76" w:rsidRPr="003C0940" w:rsidRDefault="00326D76">
            <w:pPr>
              <w:jc w:val="both"/>
              <w:rPr>
                <w:rFonts w:ascii="Verdana" w:hAnsi="Verdana"/>
                <w:sz w:val="20"/>
                <w:szCs w:val="20"/>
              </w:rPr>
            </w:pPr>
          </w:p>
          <w:p w14:paraId="6C22E440" w14:textId="77777777" w:rsidR="00326D76" w:rsidRPr="003C0940" w:rsidRDefault="00326D76">
            <w:pPr>
              <w:jc w:val="both"/>
              <w:rPr>
                <w:rFonts w:ascii="Verdana" w:hAnsi="Verdana"/>
                <w:sz w:val="20"/>
                <w:szCs w:val="20"/>
              </w:rPr>
            </w:pPr>
          </w:p>
          <w:p w14:paraId="12E06E08" w14:textId="77777777" w:rsidR="00326D76" w:rsidRPr="003C0940" w:rsidRDefault="00326D76">
            <w:pPr>
              <w:jc w:val="both"/>
              <w:rPr>
                <w:rFonts w:ascii="Verdana" w:hAnsi="Verdana"/>
                <w:sz w:val="20"/>
                <w:szCs w:val="20"/>
              </w:rPr>
            </w:pPr>
          </w:p>
          <w:p w14:paraId="14CC8C5F" w14:textId="77777777" w:rsidR="00326D76" w:rsidRPr="003C0940" w:rsidRDefault="00326D76">
            <w:pPr>
              <w:jc w:val="both"/>
              <w:rPr>
                <w:rFonts w:ascii="Verdana" w:hAnsi="Verdana"/>
                <w:sz w:val="20"/>
                <w:szCs w:val="20"/>
              </w:rPr>
            </w:pPr>
          </w:p>
          <w:p w14:paraId="266B66D6" w14:textId="0507236D" w:rsidR="00326D76" w:rsidRPr="003C0940" w:rsidRDefault="00326D76">
            <w:pPr>
              <w:jc w:val="both"/>
              <w:rPr>
                <w:rFonts w:ascii="Verdana" w:hAnsi="Verdana"/>
                <w:b/>
                <w:bCs/>
                <w:sz w:val="20"/>
                <w:szCs w:val="20"/>
              </w:rPr>
            </w:pPr>
            <w:r w:rsidRPr="003C0940">
              <w:rPr>
                <w:rFonts w:ascii="Verdana" w:hAnsi="Verdana"/>
                <w:b/>
                <w:bCs/>
                <w:sz w:val="20"/>
                <w:szCs w:val="20"/>
              </w:rPr>
              <w:t xml:space="preserve">FCC </w:t>
            </w:r>
            <w:r w:rsidR="00B10E65" w:rsidRPr="003C0940">
              <w:rPr>
                <w:rFonts w:ascii="Verdana" w:hAnsi="Verdana"/>
                <w:b/>
                <w:bCs/>
                <w:sz w:val="20"/>
                <w:szCs w:val="20"/>
              </w:rPr>
              <w:t>Vrbak doo Lapovo</w:t>
            </w:r>
            <w:r w:rsidRPr="003C0940">
              <w:rPr>
                <w:rFonts w:ascii="Verdana" w:hAnsi="Verdana"/>
                <w:b/>
                <w:bCs/>
                <w:sz w:val="20"/>
                <w:szCs w:val="20"/>
              </w:rPr>
              <w:t>(Operater</w:t>
            </w:r>
            <w:r w:rsidR="00B10E65" w:rsidRPr="003C0940">
              <w:rPr>
                <w:rFonts w:ascii="Verdana" w:hAnsi="Verdana"/>
                <w:b/>
                <w:bCs/>
                <w:sz w:val="20"/>
                <w:szCs w:val="20"/>
              </w:rPr>
              <w:t>/Operator</w:t>
            </w:r>
            <w:r w:rsidRPr="003C0940">
              <w:rPr>
                <w:rFonts w:ascii="Verdana" w:hAnsi="Verdana"/>
                <w:b/>
                <w:bCs/>
                <w:sz w:val="20"/>
                <w:szCs w:val="20"/>
              </w:rPr>
              <w:t>)</w:t>
            </w:r>
          </w:p>
          <w:p w14:paraId="2EC1D6CF" w14:textId="77777777" w:rsidR="00326D76" w:rsidRPr="003C0940" w:rsidRDefault="00326D76">
            <w:pPr>
              <w:jc w:val="both"/>
              <w:rPr>
                <w:rFonts w:ascii="Verdana" w:hAnsi="Verdana"/>
                <w:sz w:val="20"/>
                <w:szCs w:val="20"/>
              </w:rPr>
            </w:pPr>
          </w:p>
          <w:p w14:paraId="5E7439CA" w14:textId="77777777" w:rsidR="00326D76" w:rsidRPr="003C0940" w:rsidRDefault="00326D76">
            <w:pPr>
              <w:jc w:val="both"/>
              <w:rPr>
                <w:rFonts w:ascii="Verdana" w:hAnsi="Verdana"/>
                <w:sz w:val="20"/>
                <w:szCs w:val="20"/>
              </w:rPr>
            </w:pPr>
          </w:p>
          <w:p w14:paraId="75023559" w14:textId="77777777" w:rsidR="00326D76" w:rsidRPr="003C0940" w:rsidRDefault="00326D76">
            <w:pPr>
              <w:jc w:val="both"/>
              <w:rPr>
                <w:rFonts w:ascii="Verdana" w:hAnsi="Verdana"/>
                <w:sz w:val="20"/>
                <w:szCs w:val="20"/>
              </w:rPr>
            </w:pPr>
            <w:r w:rsidRPr="003C0940">
              <w:rPr>
                <w:rFonts w:ascii="Verdana" w:hAnsi="Verdana"/>
                <w:sz w:val="20"/>
                <w:szCs w:val="20"/>
              </w:rPr>
              <w:t>____________________________________</w:t>
            </w:r>
          </w:p>
          <w:p w14:paraId="689B5A3E" w14:textId="7921755A" w:rsidR="00326D76" w:rsidRPr="003C0940" w:rsidRDefault="00326D76">
            <w:pPr>
              <w:jc w:val="both"/>
              <w:rPr>
                <w:rFonts w:ascii="Verdana" w:hAnsi="Verdana"/>
                <w:sz w:val="20"/>
                <w:szCs w:val="20"/>
              </w:rPr>
            </w:pPr>
            <w:r w:rsidRPr="003C0940">
              <w:rPr>
                <w:rFonts w:ascii="Verdana" w:hAnsi="Verdana"/>
                <w:sz w:val="20"/>
                <w:szCs w:val="20"/>
              </w:rPr>
              <w:t>Amir Mujezinović, direktor</w:t>
            </w:r>
            <w:r w:rsidR="00B10E65" w:rsidRPr="003C0940">
              <w:rPr>
                <w:rFonts w:ascii="Verdana" w:hAnsi="Verdana"/>
                <w:sz w:val="20"/>
                <w:szCs w:val="20"/>
              </w:rPr>
              <w:t>/director</w:t>
            </w:r>
          </w:p>
          <w:p w14:paraId="3A52CA80" w14:textId="77777777" w:rsidR="00326D76" w:rsidRPr="003C0940" w:rsidRDefault="00326D76">
            <w:pPr>
              <w:jc w:val="both"/>
              <w:rPr>
                <w:rFonts w:ascii="Verdana" w:hAnsi="Verdana"/>
                <w:sz w:val="20"/>
                <w:szCs w:val="20"/>
              </w:rPr>
            </w:pPr>
          </w:p>
          <w:p w14:paraId="2A966203" w14:textId="77777777" w:rsidR="00326D76" w:rsidRPr="003C0940" w:rsidRDefault="00326D76">
            <w:pPr>
              <w:jc w:val="both"/>
              <w:rPr>
                <w:rFonts w:ascii="Verdana" w:hAnsi="Verdana"/>
                <w:sz w:val="20"/>
                <w:szCs w:val="20"/>
              </w:rPr>
            </w:pPr>
          </w:p>
          <w:p w14:paraId="47DF737A" w14:textId="77777777" w:rsidR="00326D76" w:rsidRPr="003C0940" w:rsidRDefault="00326D76">
            <w:pPr>
              <w:jc w:val="both"/>
              <w:rPr>
                <w:rFonts w:ascii="Verdana" w:hAnsi="Verdana"/>
                <w:sz w:val="20"/>
                <w:szCs w:val="20"/>
              </w:rPr>
            </w:pPr>
            <w:r w:rsidRPr="003C0940">
              <w:rPr>
                <w:rFonts w:ascii="Verdana" w:hAnsi="Verdana"/>
                <w:sz w:val="20"/>
                <w:szCs w:val="20"/>
              </w:rPr>
              <w:t>____________________________________</w:t>
            </w:r>
          </w:p>
          <w:p w14:paraId="6F26D117" w14:textId="77777777" w:rsidR="00326D76" w:rsidRPr="003C0940" w:rsidRDefault="00326D76">
            <w:pPr>
              <w:jc w:val="both"/>
              <w:rPr>
                <w:rFonts w:ascii="Verdana" w:hAnsi="Verdana"/>
                <w:sz w:val="20"/>
                <w:szCs w:val="20"/>
              </w:rPr>
            </w:pPr>
            <w:r w:rsidRPr="003C0940">
              <w:rPr>
                <w:rFonts w:ascii="Verdana" w:hAnsi="Verdana"/>
                <w:sz w:val="20"/>
                <w:szCs w:val="20"/>
              </w:rPr>
              <w:t>Anđelka Marković Milin, ostali zastupnik</w:t>
            </w:r>
            <w:r w:rsidR="00B10E65" w:rsidRPr="003C0940">
              <w:rPr>
                <w:rFonts w:ascii="Verdana" w:hAnsi="Verdana"/>
                <w:sz w:val="20"/>
                <w:szCs w:val="20"/>
              </w:rPr>
              <w:t>/other representatives</w:t>
            </w:r>
          </w:p>
          <w:p w14:paraId="2E93BE23" w14:textId="45C7395E" w:rsidR="005312EA" w:rsidRPr="003C0940" w:rsidRDefault="005312EA">
            <w:pPr>
              <w:jc w:val="both"/>
              <w:rPr>
                <w:rFonts w:ascii="Verdana" w:hAnsi="Verdana"/>
                <w:sz w:val="20"/>
                <w:szCs w:val="20"/>
              </w:rPr>
            </w:pPr>
          </w:p>
        </w:tc>
        <w:tc>
          <w:tcPr>
            <w:tcW w:w="5385" w:type="dxa"/>
            <w:tcBorders>
              <w:top w:val="single" w:sz="4" w:space="0" w:color="auto"/>
              <w:left w:val="single" w:sz="4" w:space="0" w:color="auto"/>
              <w:bottom w:val="single" w:sz="4" w:space="0" w:color="auto"/>
              <w:right w:val="single" w:sz="4" w:space="0" w:color="auto"/>
            </w:tcBorders>
          </w:tcPr>
          <w:p w14:paraId="3C3C9E39" w14:textId="77777777" w:rsidR="007E59D7" w:rsidRPr="003C0940" w:rsidRDefault="007E59D7">
            <w:pPr>
              <w:keepNext/>
              <w:snapToGrid w:val="0"/>
              <w:jc w:val="both"/>
              <w:rPr>
                <w:rFonts w:ascii="Verdana" w:eastAsia="Times New Roman" w:hAnsi="Verdana" w:cs="Arial"/>
                <w:sz w:val="20"/>
                <w:szCs w:val="20"/>
                <w:lang w:eastAsia="de-DE"/>
              </w:rPr>
            </w:pPr>
          </w:p>
          <w:p w14:paraId="0AC13F46" w14:textId="503C6912" w:rsidR="007E59D7" w:rsidRPr="003C0940" w:rsidRDefault="008A294E">
            <w:pPr>
              <w:keepNext/>
              <w:snapToGrid w:val="0"/>
              <w:jc w:val="both"/>
              <w:rPr>
                <w:rFonts w:ascii="Verdana" w:eastAsia="Times New Roman" w:hAnsi="Verdana" w:cs="Arial"/>
                <w:sz w:val="20"/>
                <w:szCs w:val="20"/>
                <w:lang w:val="en-US" w:eastAsia="de-DE"/>
              </w:rPr>
            </w:pPr>
            <w:r w:rsidRPr="003C0940">
              <w:rPr>
                <w:rFonts w:ascii="Verdana" w:eastAsia="Times New Roman" w:hAnsi="Verdana" w:cs="Arial"/>
                <w:sz w:val="20"/>
                <w:szCs w:val="20"/>
                <w:lang w:val="en-US" w:eastAsia="de-DE"/>
              </w:rPr>
              <w:t xml:space="preserve">This Annex </w:t>
            </w:r>
            <w:r w:rsidR="00B10E65" w:rsidRPr="003C0940">
              <w:rPr>
                <w:rFonts w:ascii="Verdana" w:eastAsia="Times New Roman" w:hAnsi="Verdana" w:cs="Arial"/>
                <w:sz w:val="20"/>
                <w:szCs w:val="20"/>
                <w:lang w:val="en-US" w:eastAsia="de-DE"/>
              </w:rPr>
              <w:t>3</w:t>
            </w:r>
            <w:r w:rsidRPr="003C0940">
              <w:rPr>
                <w:rFonts w:ascii="Verdana" w:eastAsia="Times New Roman" w:hAnsi="Verdana" w:cs="Arial"/>
                <w:sz w:val="20"/>
                <w:szCs w:val="20"/>
                <w:lang w:val="en-US" w:eastAsia="de-DE"/>
              </w:rPr>
              <w:t xml:space="preserve"> to the waste collection agreement</w:t>
            </w:r>
            <w:r w:rsidR="002E208A" w:rsidRPr="003C0940">
              <w:rPr>
                <w:rFonts w:ascii="Verdana" w:eastAsia="Times New Roman" w:hAnsi="Verdana" w:cs="Arial"/>
                <w:sz w:val="20"/>
                <w:szCs w:val="20"/>
                <w:lang w:val="en-US" w:eastAsia="de-DE"/>
              </w:rPr>
              <w:t xml:space="preserve"> (hereinafter referred to as the: </w:t>
            </w:r>
            <w:r w:rsidR="002E208A" w:rsidRPr="003C0940">
              <w:rPr>
                <w:rFonts w:ascii="Verdana" w:eastAsia="Times New Roman" w:hAnsi="Verdana" w:cs="Arial"/>
                <w:b/>
                <w:bCs/>
                <w:sz w:val="20"/>
                <w:szCs w:val="20"/>
                <w:lang w:val="en-US" w:eastAsia="de-DE"/>
              </w:rPr>
              <w:t xml:space="preserve">“Annex </w:t>
            </w:r>
            <w:r w:rsidR="00B10E65" w:rsidRPr="003C0940">
              <w:rPr>
                <w:rFonts w:ascii="Verdana" w:eastAsia="Times New Roman" w:hAnsi="Verdana" w:cs="Arial"/>
                <w:b/>
                <w:bCs/>
                <w:sz w:val="20"/>
                <w:szCs w:val="20"/>
                <w:lang w:val="en-US" w:eastAsia="de-DE"/>
              </w:rPr>
              <w:t>3</w:t>
            </w:r>
            <w:r w:rsidR="002E208A" w:rsidRPr="003C0940">
              <w:rPr>
                <w:rFonts w:ascii="Verdana" w:eastAsia="Times New Roman" w:hAnsi="Verdana" w:cs="Arial"/>
                <w:b/>
                <w:bCs/>
                <w:sz w:val="20"/>
                <w:szCs w:val="20"/>
                <w:lang w:val="en-US" w:eastAsia="de-DE"/>
              </w:rPr>
              <w:t xml:space="preserve"> Agreement”</w:t>
            </w:r>
            <w:r w:rsidR="002E208A" w:rsidRPr="003C0940">
              <w:rPr>
                <w:rFonts w:ascii="Verdana" w:eastAsia="Times New Roman" w:hAnsi="Verdana" w:cs="Arial"/>
                <w:sz w:val="20"/>
                <w:szCs w:val="20"/>
                <w:lang w:val="en-US" w:eastAsia="de-DE"/>
              </w:rPr>
              <w:t>)</w:t>
            </w:r>
            <w:r w:rsidRPr="003C0940">
              <w:rPr>
                <w:rFonts w:ascii="Verdana" w:eastAsia="Times New Roman" w:hAnsi="Verdana" w:cs="Arial"/>
                <w:sz w:val="20"/>
                <w:szCs w:val="20"/>
                <w:lang w:val="en-US" w:eastAsia="de-DE"/>
              </w:rPr>
              <w:t xml:space="preserve"> </w:t>
            </w:r>
            <w:r w:rsidR="007E59D7" w:rsidRPr="003C0940">
              <w:rPr>
                <w:rFonts w:ascii="Verdana" w:eastAsia="Times New Roman" w:hAnsi="Verdana" w:cs="Arial"/>
                <w:sz w:val="20"/>
                <w:szCs w:val="20"/>
                <w:lang w:val="en-US" w:eastAsia="de-DE"/>
              </w:rPr>
              <w:t xml:space="preserve">Made in Belgrade </w:t>
            </w:r>
            <w:proofErr w:type="gramStart"/>
            <w:r w:rsidR="007E59D7" w:rsidRPr="003C0940">
              <w:rPr>
                <w:rFonts w:ascii="Verdana" w:eastAsia="Times New Roman" w:hAnsi="Verdana" w:cs="Arial"/>
                <w:sz w:val="20"/>
                <w:szCs w:val="20"/>
                <w:lang w:val="en-US" w:eastAsia="de-DE"/>
              </w:rPr>
              <w:t>on</w:t>
            </w:r>
            <w:proofErr w:type="gramEnd"/>
            <w:r w:rsidR="00080B47" w:rsidRPr="003C0940">
              <w:rPr>
                <w:rFonts w:ascii="Verdana" w:eastAsia="Times New Roman" w:hAnsi="Verdana" w:cs="Arial"/>
                <w:sz w:val="20"/>
                <w:szCs w:val="20"/>
                <w:lang w:val="en-US" w:eastAsia="de-DE"/>
              </w:rPr>
              <w:t xml:space="preserve"> </w:t>
            </w:r>
            <w:r w:rsidR="0077092F" w:rsidRPr="003C0940">
              <w:rPr>
                <w:rFonts w:ascii="Verdana" w:eastAsia="Times New Roman" w:hAnsi="Verdana" w:cs="Arial"/>
                <w:b/>
                <w:bCs/>
                <w:sz w:val="20"/>
                <w:szCs w:val="20"/>
                <w:lang w:val="en-US" w:eastAsia="de-DE"/>
              </w:rPr>
              <w:t>August</w:t>
            </w:r>
            <w:r w:rsidR="006D12D5" w:rsidRPr="003C0940">
              <w:rPr>
                <w:rFonts w:ascii="Verdana" w:eastAsia="Times New Roman" w:hAnsi="Verdana" w:cs="Arial"/>
                <w:b/>
                <w:bCs/>
                <w:sz w:val="20"/>
                <w:szCs w:val="20"/>
                <w:lang w:val="en-US" w:eastAsia="de-DE"/>
              </w:rPr>
              <w:t xml:space="preserve"> </w:t>
            </w:r>
            <w:proofErr w:type="gramStart"/>
            <w:r w:rsidR="004C3F06" w:rsidRPr="003C0940">
              <w:rPr>
                <w:rFonts w:ascii="Verdana" w:eastAsia="Times New Roman" w:hAnsi="Verdana" w:cs="Arial"/>
                <w:b/>
                <w:bCs/>
                <w:sz w:val="20"/>
                <w:szCs w:val="20"/>
                <w:lang w:val="en-US" w:eastAsia="de-DE"/>
              </w:rPr>
              <w:t>1</w:t>
            </w:r>
            <w:r w:rsidR="006D12D5" w:rsidRPr="003C0940">
              <w:rPr>
                <w:rFonts w:ascii="Verdana" w:eastAsia="Times New Roman" w:hAnsi="Verdana" w:cs="Arial"/>
                <w:b/>
                <w:bCs/>
                <w:sz w:val="20"/>
                <w:szCs w:val="20"/>
                <w:vertAlign w:val="superscript"/>
                <w:lang w:val="en-US" w:eastAsia="de-DE"/>
              </w:rPr>
              <w:t>TH</w:t>
            </w:r>
            <w:proofErr w:type="gramEnd"/>
            <w:r w:rsidR="007E59D7" w:rsidRPr="003C0940">
              <w:rPr>
                <w:rFonts w:ascii="Verdana" w:eastAsia="Times New Roman" w:hAnsi="Verdana" w:cs="Arial"/>
                <w:sz w:val="20"/>
                <w:szCs w:val="20"/>
                <w:lang w:val="en-US" w:eastAsia="de-DE"/>
              </w:rPr>
              <w:t xml:space="preserve"> </w:t>
            </w:r>
            <w:r w:rsidR="007E59D7" w:rsidRPr="003C0940">
              <w:rPr>
                <w:rFonts w:ascii="Verdana" w:eastAsia="Times New Roman" w:hAnsi="Verdana" w:cs="Arial"/>
                <w:b/>
                <w:sz w:val="20"/>
                <w:szCs w:val="20"/>
                <w:lang w:val="sr-Latn-CS" w:eastAsia="de-DE"/>
              </w:rPr>
              <w:t>202</w:t>
            </w:r>
            <w:r w:rsidR="00B10E65" w:rsidRPr="003C0940">
              <w:rPr>
                <w:rFonts w:ascii="Verdana" w:eastAsia="Times New Roman" w:hAnsi="Verdana" w:cs="Arial"/>
                <w:b/>
                <w:sz w:val="20"/>
                <w:szCs w:val="20"/>
                <w:lang w:val="sr-Latn-CS" w:eastAsia="de-DE"/>
              </w:rPr>
              <w:t>5</w:t>
            </w:r>
            <w:r w:rsidR="007E59D7" w:rsidRPr="003C0940">
              <w:rPr>
                <w:rFonts w:ascii="Verdana" w:eastAsia="Times New Roman" w:hAnsi="Verdana" w:cs="Arial"/>
                <w:b/>
                <w:sz w:val="20"/>
                <w:szCs w:val="20"/>
                <w:lang w:val="sr-Latn-CS" w:eastAsia="de-DE"/>
              </w:rPr>
              <w:t xml:space="preserve"> </w:t>
            </w:r>
            <w:r w:rsidR="007E59D7" w:rsidRPr="003C0940">
              <w:rPr>
                <w:rFonts w:ascii="Verdana" w:eastAsia="Times New Roman" w:hAnsi="Verdana" w:cs="Arial"/>
                <w:sz w:val="20"/>
                <w:szCs w:val="20"/>
                <w:lang w:val="en-US" w:eastAsia="de-DE"/>
              </w:rPr>
              <w:t>between the following agreement parties:</w:t>
            </w:r>
          </w:p>
          <w:p w14:paraId="2EF9B3B5" w14:textId="77777777" w:rsidR="002E208A" w:rsidRPr="003C0940" w:rsidRDefault="002E208A">
            <w:pPr>
              <w:keepNext/>
              <w:snapToGrid w:val="0"/>
              <w:jc w:val="both"/>
              <w:rPr>
                <w:rFonts w:ascii="Verdana" w:eastAsia="Times New Roman" w:hAnsi="Verdana" w:cs="Arial"/>
                <w:sz w:val="20"/>
                <w:szCs w:val="20"/>
                <w:lang w:val="en-US" w:eastAsia="de-DE"/>
              </w:rPr>
            </w:pPr>
          </w:p>
          <w:p w14:paraId="32A51900" w14:textId="556E7ADC" w:rsidR="007E59D7" w:rsidRPr="003C0940" w:rsidRDefault="007E59D7">
            <w:pPr>
              <w:keepNext/>
              <w:snapToGrid w:val="0"/>
              <w:jc w:val="both"/>
              <w:rPr>
                <w:rFonts w:ascii="Verdana" w:eastAsia="Times New Roman" w:hAnsi="Verdana" w:cs="Arial"/>
                <w:sz w:val="20"/>
                <w:szCs w:val="20"/>
                <w:lang w:val="en-US" w:eastAsia="de-DE"/>
              </w:rPr>
            </w:pPr>
            <w:r w:rsidRPr="003C0940">
              <w:rPr>
                <w:rFonts w:ascii="Verdana" w:eastAsia="Times New Roman" w:hAnsi="Verdana" w:cs="Arial"/>
                <w:b/>
                <w:bCs/>
                <w:sz w:val="20"/>
                <w:szCs w:val="20"/>
                <w:lang w:val="en-US" w:eastAsia="de-DE"/>
              </w:rPr>
              <w:t xml:space="preserve">THE MUNICIPALITY OF </w:t>
            </w:r>
            <w:r w:rsidR="00080B47" w:rsidRPr="003C0940">
              <w:rPr>
                <w:rFonts w:ascii="Verdana" w:eastAsia="Times New Roman" w:hAnsi="Verdana" w:cs="Arial"/>
                <w:b/>
                <w:bCs/>
                <w:sz w:val="20"/>
                <w:szCs w:val="20"/>
                <w:lang w:val="en-US" w:eastAsia="de-DE"/>
              </w:rPr>
              <w:t>LAPOVO</w:t>
            </w:r>
            <w:r w:rsidRPr="003C0940">
              <w:rPr>
                <w:rFonts w:ascii="Verdana" w:eastAsia="Times New Roman" w:hAnsi="Verdana" w:cs="Arial"/>
                <w:sz w:val="20"/>
                <w:szCs w:val="20"/>
                <w:lang w:val="en-US" w:eastAsia="de-DE"/>
              </w:rPr>
              <w:t xml:space="preserve">, based in </w:t>
            </w:r>
            <w:proofErr w:type="spellStart"/>
            <w:r w:rsidR="00080B47" w:rsidRPr="003C0940">
              <w:rPr>
                <w:rFonts w:ascii="Verdana" w:eastAsia="Times New Roman" w:hAnsi="Verdana" w:cs="Arial"/>
                <w:sz w:val="20"/>
                <w:szCs w:val="20"/>
                <w:lang w:val="en-US" w:eastAsia="de-DE"/>
              </w:rPr>
              <w:t>Njegoševa</w:t>
            </w:r>
            <w:proofErr w:type="spellEnd"/>
            <w:r w:rsidR="00080B47" w:rsidRPr="003C0940">
              <w:rPr>
                <w:rFonts w:ascii="Verdana" w:eastAsia="Times New Roman" w:hAnsi="Verdana" w:cs="Arial"/>
                <w:sz w:val="20"/>
                <w:szCs w:val="20"/>
                <w:lang w:val="en-US" w:eastAsia="de-DE"/>
              </w:rPr>
              <w:t xml:space="preserve"> 18</w:t>
            </w:r>
            <w:r w:rsidRPr="003C0940">
              <w:rPr>
                <w:rFonts w:ascii="Verdana" w:eastAsia="Times New Roman" w:hAnsi="Verdana" w:cs="Arial"/>
                <w:sz w:val="20"/>
                <w:szCs w:val="20"/>
                <w:lang w:val="en-US" w:eastAsia="de-DE"/>
              </w:rPr>
              <w:t>, 342</w:t>
            </w:r>
            <w:r w:rsidR="00080B47" w:rsidRPr="003C0940">
              <w:rPr>
                <w:rFonts w:ascii="Verdana" w:eastAsia="Times New Roman" w:hAnsi="Verdana" w:cs="Arial"/>
                <w:sz w:val="20"/>
                <w:szCs w:val="20"/>
                <w:lang w:val="en-US" w:eastAsia="de-DE"/>
              </w:rPr>
              <w:t>2</w:t>
            </w:r>
            <w:r w:rsidRPr="003C0940">
              <w:rPr>
                <w:rFonts w:ascii="Verdana" w:eastAsia="Times New Roman" w:hAnsi="Verdana" w:cs="Arial"/>
                <w:sz w:val="20"/>
                <w:szCs w:val="20"/>
                <w:lang w:val="en-US" w:eastAsia="de-DE"/>
              </w:rPr>
              <w:t>0</w:t>
            </w:r>
            <w:r w:rsidR="00080B47" w:rsidRPr="003C0940">
              <w:rPr>
                <w:rFonts w:ascii="Verdana" w:eastAsia="Times New Roman" w:hAnsi="Verdana" w:cs="Arial"/>
                <w:sz w:val="20"/>
                <w:szCs w:val="20"/>
                <w:lang w:val="en-US" w:eastAsia="de-DE"/>
              </w:rPr>
              <w:t xml:space="preserve"> Lapovo</w:t>
            </w:r>
            <w:r w:rsidRPr="003C0940">
              <w:rPr>
                <w:rFonts w:ascii="Verdana" w:eastAsia="Times New Roman" w:hAnsi="Verdana" w:cs="Arial"/>
                <w:sz w:val="20"/>
                <w:szCs w:val="20"/>
                <w:lang w:val="en-US" w:eastAsia="de-DE"/>
              </w:rPr>
              <w:t xml:space="preserve">, Republic of Serbia, represented by the Mayor of the Municipality of </w:t>
            </w:r>
            <w:r w:rsidR="00334E87" w:rsidRPr="003C0940">
              <w:rPr>
                <w:rFonts w:ascii="Verdana" w:eastAsia="Times New Roman" w:hAnsi="Verdana" w:cs="Arial"/>
                <w:sz w:val="20"/>
                <w:szCs w:val="20"/>
                <w:lang w:val="en-US" w:eastAsia="de-DE"/>
              </w:rPr>
              <w:t xml:space="preserve">Boban </w:t>
            </w:r>
            <w:proofErr w:type="spellStart"/>
            <w:r w:rsidR="00334E87" w:rsidRPr="003C0940">
              <w:rPr>
                <w:rFonts w:ascii="Verdana" w:eastAsia="Times New Roman" w:hAnsi="Verdana" w:cs="Arial"/>
                <w:sz w:val="20"/>
                <w:szCs w:val="20"/>
                <w:lang w:val="en-US" w:eastAsia="de-DE"/>
              </w:rPr>
              <w:t>Miličić</w:t>
            </w:r>
            <w:proofErr w:type="spellEnd"/>
            <w:r w:rsidRPr="003C0940">
              <w:rPr>
                <w:rFonts w:ascii="Verdana" w:eastAsia="Times New Roman" w:hAnsi="Verdana" w:cs="Arial"/>
                <w:sz w:val="20"/>
                <w:szCs w:val="20"/>
                <w:lang w:val="en-US" w:eastAsia="de-DE"/>
              </w:rPr>
              <w:t xml:space="preserve">, (hereinafter referred to as the: </w:t>
            </w:r>
            <w:r w:rsidR="00B10E65" w:rsidRPr="003C0940">
              <w:rPr>
                <w:rFonts w:ascii="Verdana" w:eastAsia="Times New Roman" w:hAnsi="Verdana" w:cs="Arial"/>
                <w:b/>
                <w:bCs/>
                <w:sz w:val="20"/>
                <w:szCs w:val="20"/>
                <w:lang w:val="en-US" w:eastAsia="de-DE"/>
              </w:rPr>
              <w:t>“</w:t>
            </w:r>
            <w:r w:rsidR="003E3BEE" w:rsidRPr="003C0940">
              <w:rPr>
                <w:rFonts w:ascii="Verdana" w:eastAsia="Times New Roman" w:hAnsi="Verdana" w:cs="Arial"/>
                <w:b/>
                <w:bCs/>
                <w:sz w:val="20"/>
                <w:szCs w:val="20"/>
                <w:lang w:val="en-US" w:eastAsia="de-DE"/>
              </w:rPr>
              <w:t>Municipality of Lapovo</w:t>
            </w:r>
            <w:r w:rsidR="00B10E65" w:rsidRPr="003C0940">
              <w:rPr>
                <w:rFonts w:ascii="Verdana" w:eastAsia="Times New Roman" w:hAnsi="Verdana" w:cs="Arial"/>
                <w:b/>
                <w:bCs/>
                <w:sz w:val="20"/>
                <w:szCs w:val="20"/>
                <w:lang w:val="en-US" w:eastAsia="de-DE"/>
              </w:rPr>
              <w:t>”</w:t>
            </w:r>
            <w:r w:rsidR="00B10E65" w:rsidRPr="003C0940">
              <w:rPr>
                <w:rFonts w:ascii="Verdana" w:eastAsia="Times New Roman" w:hAnsi="Verdana" w:cs="Arial"/>
                <w:sz w:val="20"/>
                <w:szCs w:val="20"/>
                <w:lang w:val="en-US" w:eastAsia="de-DE"/>
              </w:rPr>
              <w:t xml:space="preserve"> or</w:t>
            </w:r>
            <w:r w:rsidR="003E3BEE" w:rsidRPr="003C0940">
              <w:rPr>
                <w:rFonts w:ascii="Verdana" w:eastAsia="Times New Roman" w:hAnsi="Verdana" w:cs="Arial"/>
                <w:sz w:val="20"/>
                <w:szCs w:val="20"/>
                <w:lang w:val="en-US" w:eastAsia="de-DE"/>
              </w:rPr>
              <w:t xml:space="preserve"> </w:t>
            </w:r>
            <w:r w:rsidRPr="003C0940">
              <w:rPr>
                <w:rFonts w:ascii="Verdana" w:eastAsia="Times New Roman" w:hAnsi="Verdana" w:cs="Arial"/>
                <w:b/>
                <w:bCs/>
                <w:sz w:val="20"/>
                <w:szCs w:val="20"/>
                <w:lang w:val="en-US" w:eastAsia="de-DE"/>
              </w:rPr>
              <w:t>“Client”</w:t>
            </w:r>
            <w:r w:rsidRPr="003C0940">
              <w:rPr>
                <w:rFonts w:ascii="Verdana" w:eastAsia="Times New Roman" w:hAnsi="Verdana" w:cs="Arial"/>
                <w:sz w:val="20"/>
                <w:szCs w:val="20"/>
                <w:lang w:val="en-US" w:eastAsia="de-DE"/>
              </w:rPr>
              <w:t>),</w:t>
            </w:r>
          </w:p>
          <w:p w14:paraId="3084FF64" w14:textId="77777777" w:rsidR="003E3BEE" w:rsidRPr="003C0940" w:rsidRDefault="003E3BEE">
            <w:pPr>
              <w:keepNext/>
              <w:snapToGrid w:val="0"/>
              <w:jc w:val="both"/>
              <w:rPr>
                <w:rFonts w:ascii="Verdana" w:eastAsia="Times New Roman" w:hAnsi="Verdana" w:cs="Arial"/>
                <w:sz w:val="20"/>
                <w:szCs w:val="20"/>
                <w:lang w:val="en-US" w:eastAsia="de-DE"/>
              </w:rPr>
            </w:pPr>
          </w:p>
          <w:p w14:paraId="02BCF42A" w14:textId="77777777" w:rsidR="007E59D7" w:rsidRPr="003C0940" w:rsidRDefault="007E59D7">
            <w:pPr>
              <w:keepNext/>
              <w:snapToGrid w:val="0"/>
              <w:jc w:val="both"/>
              <w:rPr>
                <w:rFonts w:ascii="Verdana" w:eastAsia="Times New Roman" w:hAnsi="Verdana" w:cs="Arial"/>
                <w:sz w:val="20"/>
                <w:szCs w:val="20"/>
                <w:lang w:val="en-US" w:eastAsia="de-DE"/>
              </w:rPr>
            </w:pPr>
            <w:r w:rsidRPr="003C0940">
              <w:rPr>
                <w:rFonts w:ascii="Verdana" w:eastAsia="Times New Roman" w:hAnsi="Verdana" w:cs="Arial"/>
                <w:sz w:val="20"/>
                <w:szCs w:val="20"/>
                <w:lang w:val="en-US" w:eastAsia="de-DE"/>
              </w:rPr>
              <w:t>and</w:t>
            </w:r>
          </w:p>
          <w:p w14:paraId="25EF9699" w14:textId="77777777" w:rsidR="007E59D7" w:rsidRPr="003C0940" w:rsidRDefault="007E59D7">
            <w:pPr>
              <w:keepNext/>
              <w:snapToGrid w:val="0"/>
              <w:jc w:val="both"/>
              <w:rPr>
                <w:rFonts w:ascii="Verdana" w:eastAsia="Times New Roman" w:hAnsi="Verdana" w:cs="Arial"/>
                <w:sz w:val="20"/>
                <w:szCs w:val="20"/>
                <w:lang w:val="en-US" w:eastAsia="de-DE"/>
              </w:rPr>
            </w:pPr>
          </w:p>
          <w:p w14:paraId="39ED6200" w14:textId="29D09A96" w:rsidR="003E3BEE" w:rsidRPr="003C0940" w:rsidRDefault="007E59D7">
            <w:pPr>
              <w:jc w:val="both"/>
              <w:rPr>
                <w:rFonts w:ascii="Verdana" w:hAnsi="Verdana" w:cs="Arial"/>
                <w:bCs/>
                <w:sz w:val="20"/>
                <w:szCs w:val="20"/>
                <w:lang w:val="en-US"/>
              </w:rPr>
            </w:pPr>
            <w:r w:rsidRPr="003C0940">
              <w:rPr>
                <w:rFonts w:ascii="Verdana" w:hAnsi="Verdana" w:cs="Arial"/>
                <w:b/>
                <w:sz w:val="20"/>
                <w:szCs w:val="20"/>
                <w:lang w:val="en-US"/>
              </w:rPr>
              <w:t xml:space="preserve">FCC </w:t>
            </w:r>
            <w:r w:rsidR="000A1C44" w:rsidRPr="003C0940">
              <w:rPr>
                <w:rFonts w:ascii="Verdana" w:hAnsi="Verdana" w:cs="Arial"/>
                <w:b/>
                <w:sz w:val="20"/>
                <w:szCs w:val="20"/>
                <w:lang w:val="en-US"/>
              </w:rPr>
              <w:t xml:space="preserve">VRBAK </w:t>
            </w:r>
            <w:r w:rsidRPr="003C0940">
              <w:rPr>
                <w:rFonts w:ascii="Verdana" w:hAnsi="Verdana" w:cs="Arial"/>
                <w:b/>
                <w:sz w:val="20"/>
                <w:szCs w:val="20"/>
                <w:lang w:val="en-US"/>
              </w:rPr>
              <w:t xml:space="preserve">DOO </w:t>
            </w:r>
            <w:r w:rsidR="000A1C44" w:rsidRPr="003C0940">
              <w:rPr>
                <w:rFonts w:ascii="Verdana" w:hAnsi="Verdana" w:cs="Arial"/>
                <w:b/>
                <w:sz w:val="20"/>
                <w:szCs w:val="20"/>
                <w:lang w:val="en-US"/>
              </w:rPr>
              <w:t>LAPOVO</w:t>
            </w:r>
            <w:r w:rsidRPr="003C0940">
              <w:rPr>
                <w:rFonts w:ascii="Verdana" w:hAnsi="Verdana" w:cs="Arial"/>
                <w:b/>
                <w:sz w:val="20"/>
                <w:szCs w:val="20"/>
                <w:lang w:val="en-US"/>
              </w:rPr>
              <w:t xml:space="preserve">, </w:t>
            </w:r>
            <w:r w:rsidRPr="003C0940">
              <w:rPr>
                <w:rFonts w:ascii="Verdana" w:hAnsi="Verdana" w:cs="Arial"/>
                <w:bCs/>
                <w:sz w:val="20"/>
                <w:szCs w:val="20"/>
                <w:lang w:val="en-US"/>
              </w:rPr>
              <w:t>based in</w:t>
            </w:r>
            <w:r w:rsidRPr="003C0940">
              <w:rPr>
                <w:rFonts w:ascii="Verdana" w:hAnsi="Verdana" w:cs="Arial"/>
                <w:sz w:val="20"/>
                <w:szCs w:val="20"/>
                <w:lang w:val="en-US"/>
              </w:rPr>
              <w:t xml:space="preserve"> </w:t>
            </w:r>
            <w:proofErr w:type="spellStart"/>
            <w:r w:rsidR="00B10E65" w:rsidRPr="003C0940">
              <w:rPr>
                <w:rFonts w:ascii="Verdana" w:hAnsi="Verdana" w:cs="Arial"/>
                <w:sz w:val="20"/>
                <w:szCs w:val="20"/>
                <w:lang w:val="en-US"/>
              </w:rPr>
              <w:t>Kraljice</w:t>
            </w:r>
            <w:proofErr w:type="spellEnd"/>
            <w:r w:rsidR="00B10E65" w:rsidRPr="003C0940">
              <w:rPr>
                <w:rFonts w:ascii="Verdana" w:hAnsi="Verdana" w:cs="Arial"/>
                <w:sz w:val="20"/>
                <w:szCs w:val="20"/>
                <w:lang w:val="en-US"/>
              </w:rPr>
              <w:t xml:space="preserve"> Marije </w:t>
            </w:r>
            <w:r w:rsidR="00615D7C" w:rsidRPr="003C0940">
              <w:rPr>
                <w:rFonts w:ascii="Verdana" w:hAnsi="Verdana" w:cs="Arial"/>
                <w:sz w:val="20"/>
                <w:szCs w:val="20"/>
                <w:lang w:val="en-US"/>
              </w:rPr>
              <w:t>bb, 34220 Lapovo,</w:t>
            </w:r>
            <w:r w:rsidRPr="003C0940">
              <w:rPr>
                <w:rFonts w:ascii="Verdana" w:hAnsi="Verdana" w:cs="Arial"/>
                <w:sz w:val="20"/>
                <w:szCs w:val="20"/>
                <w:lang w:val="en-US"/>
              </w:rPr>
              <w:t xml:space="preserve"> company ID number: </w:t>
            </w:r>
            <w:r w:rsidRPr="003C0940">
              <w:rPr>
                <w:rFonts w:ascii="Verdana" w:eastAsiaTheme="minorHAnsi" w:hAnsi="Verdana" w:cs="Verdana,Bold"/>
                <w:sz w:val="20"/>
                <w:szCs w:val="20"/>
                <w:lang w:val="en-US"/>
              </w:rPr>
              <w:t>20</w:t>
            </w:r>
            <w:r w:rsidR="00615D7C" w:rsidRPr="003C0940">
              <w:rPr>
                <w:rFonts w:ascii="Verdana" w:eastAsiaTheme="minorHAnsi" w:hAnsi="Verdana" w:cs="Verdana,Bold"/>
                <w:sz w:val="20"/>
                <w:szCs w:val="20"/>
                <w:lang w:val="en-US"/>
              </w:rPr>
              <w:t>338369</w:t>
            </w:r>
            <w:r w:rsidRPr="003C0940">
              <w:rPr>
                <w:rFonts w:ascii="Verdana" w:hAnsi="Verdana" w:cs="Arial"/>
                <w:sz w:val="20"/>
                <w:szCs w:val="20"/>
                <w:lang w:val="en-US"/>
              </w:rPr>
              <w:t xml:space="preserve">; TIN: </w:t>
            </w:r>
            <w:r w:rsidRPr="003C0940">
              <w:rPr>
                <w:rFonts w:ascii="Verdana" w:hAnsi="Verdana" w:cs="Arial"/>
                <w:bCs/>
                <w:sz w:val="20"/>
                <w:szCs w:val="20"/>
                <w:lang w:val="sr-Latn-CS"/>
              </w:rPr>
              <w:t>10</w:t>
            </w:r>
            <w:r w:rsidR="00615D7C" w:rsidRPr="003C0940">
              <w:rPr>
                <w:rFonts w:ascii="Verdana" w:hAnsi="Verdana" w:cs="Arial"/>
                <w:bCs/>
                <w:sz w:val="20"/>
                <w:szCs w:val="20"/>
                <w:lang w:val="sr-Latn-CS"/>
              </w:rPr>
              <w:t>5259855</w:t>
            </w:r>
            <w:r w:rsidRPr="003C0940">
              <w:rPr>
                <w:rFonts w:ascii="Verdana" w:hAnsi="Verdana" w:cs="Arial"/>
                <w:sz w:val="20"/>
                <w:szCs w:val="20"/>
                <w:lang w:val="en-US"/>
              </w:rPr>
              <w:t>, represented by Amir Mujezinović, director, and Anđelka Marković Milin, other representatives, (hereinafter referred to as</w:t>
            </w:r>
            <w:r w:rsidR="00B10E65" w:rsidRPr="003C0940">
              <w:rPr>
                <w:rFonts w:ascii="Verdana" w:hAnsi="Verdana" w:cs="Arial"/>
                <w:sz w:val="20"/>
                <w:szCs w:val="20"/>
                <w:lang w:val="en-US"/>
              </w:rPr>
              <w:t xml:space="preserve"> the: </w:t>
            </w:r>
            <w:r w:rsidR="00B10E65" w:rsidRPr="003C0940">
              <w:rPr>
                <w:rFonts w:ascii="Verdana" w:hAnsi="Verdana" w:cs="Arial"/>
                <w:b/>
                <w:bCs/>
                <w:sz w:val="20"/>
                <w:szCs w:val="20"/>
                <w:lang w:val="en-US"/>
              </w:rPr>
              <w:t xml:space="preserve">“FCC </w:t>
            </w:r>
            <w:proofErr w:type="spellStart"/>
            <w:r w:rsidR="00B10E65" w:rsidRPr="003C0940">
              <w:rPr>
                <w:rFonts w:ascii="Verdana" w:hAnsi="Verdana" w:cs="Arial"/>
                <w:b/>
                <w:bCs/>
                <w:sz w:val="20"/>
                <w:szCs w:val="20"/>
                <w:lang w:val="en-US"/>
              </w:rPr>
              <w:t>Vrbak</w:t>
            </w:r>
            <w:proofErr w:type="spellEnd"/>
            <w:r w:rsidR="00B10E65" w:rsidRPr="003C0940">
              <w:rPr>
                <w:rFonts w:ascii="Verdana" w:hAnsi="Verdana" w:cs="Arial"/>
                <w:b/>
                <w:bCs/>
                <w:sz w:val="20"/>
                <w:szCs w:val="20"/>
                <w:lang w:val="en-US"/>
              </w:rPr>
              <w:t>”</w:t>
            </w:r>
            <w:r w:rsidR="00B10E65" w:rsidRPr="003C0940">
              <w:rPr>
                <w:rFonts w:ascii="Verdana" w:hAnsi="Verdana" w:cs="Arial"/>
                <w:sz w:val="20"/>
                <w:szCs w:val="20"/>
                <w:lang w:val="en-US"/>
              </w:rPr>
              <w:t xml:space="preserve"> or</w:t>
            </w:r>
            <w:r w:rsidRPr="003C0940">
              <w:rPr>
                <w:rFonts w:ascii="Verdana" w:hAnsi="Verdana" w:cs="Arial"/>
                <w:sz w:val="20"/>
                <w:szCs w:val="20"/>
                <w:lang w:val="en-US"/>
              </w:rPr>
              <w:t xml:space="preserve"> </w:t>
            </w:r>
            <w:r w:rsidRPr="003C0940">
              <w:rPr>
                <w:rFonts w:ascii="Verdana" w:hAnsi="Verdana" w:cs="Arial"/>
                <w:b/>
                <w:bCs/>
                <w:sz w:val="20"/>
                <w:szCs w:val="20"/>
                <w:lang w:val="en-US"/>
              </w:rPr>
              <w:t>“Operator”</w:t>
            </w:r>
            <w:r w:rsidRPr="003C0940">
              <w:rPr>
                <w:rFonts w:ascii="Verdana" w:hAnsi="Verdana" w:cs="Arial"/>
                <w:sz w:val="20"/>
                <w:szCs w:val="20"/>
                <w:lang w:val="en-US"/>
              </w:rPr>
              <w:t>)</w:t>
            </w:r>
            <w:r w:rsidRPr="003C0940">
              <w:rPr>
                <w:rFonts w:ascii="Verdana" w:hAnsi="Verdana" w:cs="Arial"/>
                <w:bCs/>
                <w:sz w:val="20"/>
                <w:szCs w:val="20"/>
                <w:lang w:val="en-US"/>
              </w:rPr>
              <w:t>.</w:t>
            </w:r>
          </w:p>
          <w:p w14:paraId="291A00DF" w14:textId="77777777" w:rsidR="007E59D7" w:rsidRPr="003C0940" w:rsidRDefault="007E59D7">
            <w:pPr>
              <w:jc w:val="both"/>
              <w:rPr>
                <w:rFonts w:ascii="Verdana" w:hAnsi="Verdana" w:cs="Arial"/>
                <w:b/>
                <w:sz w:val="20"/>
                <w:szCs w:val="20"/>
                <w:lang w:val="en-US"/>
              </w:rPr>
            </w:pPr>
          </w:p>
          <w:p w14:paraId="6EC000A1" w14:textId="77777777" w:rsidR="00B10E65" w:rsidRPr="003C0940" w:rsidRDefault="00B10E65">
            <w:pPr>
              <w:jc w:val="both"/>
              <w:rPr>
                <w:rFonts w:ascii="Verdana" w:hAnsi="Verdana" w:cs="Arial"/>
                <w:b/>
                <w:sz w:val="20"/>
                <w:szCs w:val="20"/>
                <w:lang w:val="en-US"/>
              </w:rPr>
            </w:pPr>
          </w:p>
          <w:p w14:paraId="65A04094" w14:textId="77777777" w:rsidR="007E59D7" w:rsidRPr="003C0940" w:rsidRDefault="007E59D7">
            <w:pPr>
              <w:jc w:val="both"/>
              <w:rPr>
                <w:rFonts w:ascii="Verdana" w:eastAsia="Times New Roman" w:hAnsi="Verdana" w:cs="Arial"/>
                <w:sz w:val="20"/>
                <w:szCs w:val="20"/>
                <w:lang w:val="en-US" w:eastAsia="de-DE"/>
              </w:rPr>
            </w:pPr>
            <w:r w:rsidRPr="003C0940">
              <w:rPr>
                <w:rFonts w:ascii="Verdana" w:eastAsia="Times New Roman" w:hAnsi="Verdana" w:cs="Arial"/>
                <w:sz w:val="20"/>
                <w:szCs w:val="20"/>
                <w:lang w:val="en-US" w:eastAsia="de-DE"/>
              </w:rPr>
              <w:t xml:space="preserve">The Client and the Operator, hereinafter jointly referred to as the “Parties” the </w:t>
            </w:r>
            <w:proofErr w:type="spellStart"/>
            <w:r w:rsidRPr="003C0940">
              <w:rPr>
                <w:rFonts w:ascii="Verdana" w:eastAsia="Times New Roman" w:hAnsi="Verdana" w:cs="Arial"/>
                <w:sz w:val="20"/>
                <w:szCs w:val="20"/>
                <w:lang w:val="en-US" w:eastAsia="de-DE"/>
              </w:rPr>
              <w:t>the</w:t>
            </w:r>
            <w:proofErr w:type="spellEnd"/>
            <w:r w:rsidRPr="003C0940">
              <w:rPr>
                <w:rFonts w:ascii="Verdana" w:eastAsia="Times New Roman" w:hAnsi="Verdana" w:cs="Arial"/>
                <w:sz w:val="20"/>
                <w:szCs w:val="20"/>
                <w:lang w:val="en-US" w:eastAsia="de-DE"/>
              </w:rPr>
              <w:t xml:space="preserve"> Agreement, or individually the “Party” to the Agreement.</w:t>
            </w:r>
          </w:p>
          <w:p w14:paraId="6551F385" w14:textId="77777777" w:rsidR="00F26F4E" w:rsidRPr="003C0940" w:rsidRDefault="00F26F4E">
            <w:pPr>
              <w:keepNext/>
              <w:snapToGrid w:val="0"/>
              <w:jc w:val="both"/>
              <w:rPr>
                <w:rFonts w:ascii="Verdana" w:eastAsia="Times New Roman" w:hAnsi="Verdana" w:cs="Arial"/>
                <w:b/>
                <w:sz w:val="20"/>
                <w:szCs w:val="20"/>
                <w:lang w:val="en-US" w:eastAsia="de-DE"/>
              </w:rPr>
            </w:pPr>
          </w:p>
          <w:p w14:paraId="0677FA46" w14:textId="13991B0C" w:rsidR="007E59D7" w:rsidRPr="003C0940" w:rsidRDefault="007E59D7">
            <w:pPr>
              <w:keepNext/>
              <w:snapToGrid w:val="0"/>
              <w:jc w:val="both"/>
              <w:rPr>
                <w:rFonts w:ascii="Verdana" w:eastAsia="Times New Roman" w:hAnsi="Verdana" w:cs="Arial"/>
                <w:b/>
                <w:sz w:val="20"/>
                <w:szCs w:val="20"/>
                <w:lang w:val="en-US" w:eastAsia="de-DE"/>
              </w:rPr>
            </w:pPr>
            <w:r w:rsidRPr="003C0940">
              <w:rPr>
                <w:rFonts w:ascii="Verdana" w:eastAsia="Times New Roman" w:hAnsi="Verdana" w:cs="Arial"/>
                <w:b/>
                <w:sz w:val="20"/>
                <w:szCs w:val="20"/>
                <w:lang w:val="en-US" w:eastAsia="de-DE"/>
              </w:rPr>
              <w:t>Preamble</w:t>
            </w:r>
          </w:p>
          <w:p w14:paraId="43C9084D" w14:textId="77777777" w:rsidR="007E59D7" w:rsidRPr="003C0940" w:rsidRDefault="007E59D7">
            <w:pPr>
              <w:keepNext/>
              <w:snapToGrid w:val="0"/>
              <w:jc w:val="both"/>
              <w:rPr>
                <w:rFonts w:ascii="Verdana" w:eastAsia="Times New Roman" w:hAnsi="Verdana" w:cs="Arial"/>
                <w:b/>
                <w:sz w:val="20"/>
                <w:szCs w:val="20"/>
                <w:lang w:val="en-US" w:eastAsia="de-DE"/>
              </w:rPr>
            </w:pPr>
          </w:p>
          <w:p w14:paraId="72001A6F" w14:textId="14990E46" w:rsidR="00CC7DE9" w:rsidRPr="003C0940" w:rsidRDefault="00CC7DE9" w:rsidP="00CC7DE9">
            <w:pPr>
              <w:spacing w:after="277"/>
              <w:ind w:right="14"/>
              <w:jc w:val="both"/>
              <w:rPr>
                <w:rFonts w:ascii="Verdana" w:hAnsi="Verdana"/>
                <w:sz w:val="20"/>
                <w:szCs w:val="20"/>
              </w:rPr>
            </w:pPr>
            <w:r w:rsidRPr="003C0940">
              <w:rPr>
                <w:rFonts w:ascii="Verdana" w:hAnsi="Verdana"/>
                <w:sz w:val="20"/>
                <w:szCs w:val="20"/>
              </w:rPr>
              <w:t xml:space="preserve">On that day of 18 March 2008, the Municipality of Lapovo and </w:t>
            </w:r>
            <w:r w:rsidR="0056605F" w:rsidRPr="003C0940">
              <w:rPr>
                <w:rFonts w:ascii="Verdana" w:hAnsi="Verdana"/>
                <w:sz w:val="20"/>
                <w:szCs w:val="20"/>
              </w:rPr>
              <w:t>FCC Vrbak (</w:t>
            </w:r>
            <w:r w:rsidRPr="003C0940">
              <w:rPr>
                <w:rFonts w:ascii="Verdana" w:hAnsi="Verdana"/>
                <w:sz w:val="20"/>
                <w:szCs w:val="20"/>
              </w:rPr>
              <w:t>.A.S.A. Vrbak</w:t>
            </w:r>
            <w:r w:rsidR="0056605F" w:rsidRPr="003C0940">
              <w:rPr>
                <w:rFonts w:ascii="Verdana" w:hAnsi="Verdana"/>
                <w:sz w:val="20"/>
                <w:szCs w:val="20"/>
              </w:rPr>
              <w:t>)</w:t>
            </w:r>
            <w:r w:rsidRPr="003C0940">
              <w:rPr>
                <w:rFonts w:ascii="Verdana" w:hAnsi="Verdana"/>
                <w:sz w:val="20"/>
                <w:szCs w:val="20"/>
              </w:rPr>
              <w:t xml:space="preserve"> entered into the Waste Collection Agreement, (hereinafter referred as: </w:t>
            </w:r>
            <w:r w:rsidR="0056605F" w:rsidRPr="003C0940">
              <w:rPr>
                <w:rFonts w:ascii="Verdana" w:hAnsi="Verdana"/>
                <w:b/>
                <w:bCs/>
                <w:sz w:val="20"/>
                <w:szCs w:val="20"/>
              </w:rPr>
              <w:t>„</w:t>
            </w:r>
            <w:r w:rsidRPr="003C0940">
              <w:rPr>
                <w:rFonts w:ascii="Verdana" w:hAnsi="Verdana"/>
                <w:b/>
                <w:bCs/>
                <w:sz w:val="20"/>
                <w:szCs w:val="20"/>
              </w:rPr>
              <w:t>Agreement</w:t>
            </w:r>
            <w:r w:rsidR="0056605F" w:rsidRPr="003C0940">
              <w:rPr>
                <w:rFonts w:ascii="Verdana" w:hAnsi="Verdana"/>
                <w:b/>
                <w:bCs/>
                <w:sz w:val="20"/>
                <w:szCs w:val="20"/>
              </w:rPr>
              <w:t>“</w:t>
            </w:r>
            <w:r w:rsidRPr="003C0940">
              <w:rPr>
                <w:rFonts w:ascii="Verdana" w:hAnsi="Verdana"/>
                <w:sz w:val="20"/>
                <w:szCs w:val="20"/>
              </w:rPr>
              <w:t xml:space="preserve">), registered in Municipality of Lapovo by No 3521/08-11 and in </w:t>
            </w:r>
            <w:r w:rsidR="0056605F" w:rsidRPr="003C0940">
              <w:rPr>
                <w:rFonts w:ascii="Verdana" w:hAnsi="Verdana"/>
                <w:sz w:val="20"/>
                <w:szCs w:val="20"/>
              </w:rPr>
              <w:t>FCC Vrbak (</w:t>
            </w:r>
            <w:r w:rsidRPr="003C0940">
              <w:rPr>
                <w:rFonts w:ascii="Verdana" w:hAnsi="Verdana"/>
                <w:sz w:val="20"/>
                <w:szCs w:val="20"/>
              </w:rPr>
              <w:t>.A.S.A. Vrbak</w:t>
            </w:r>
            <w:r w:rsidR="0056605F" w:rsidRPr="003C0940">
              <w:rPr>
                <w:rFonts w:ascii="Verdana" w:hAnsi="Verdana"/>
                <w:sz w:val="20"/>
                <w:szCs w:val="20"/>
              </w:rPr>
              <w:t>)</w:t>
            </w:r>
            <w:r w:rsidRPr="003C0940">
              <w:rPr>
                <w:rFonts w:ascii="Verdana" w:hAnsi="Verdana"/>
                <w:sz w:val="20"/>
                <w:szCs w:val="20"/>
              </w:rPr>
              <w:t xml:space="preserve"> by No 059/08.</w:t>
            </w:r>
          </w:p>
          <w:p w14:paraId="125046A5" w14:textId="66E01F53" w:rsidR="007E59D7" w:rsidRPr="003C0940" w:rsidRDefault="00432F45">
            <w:pPr>
              <w:keepNext/>
              <w:snapToGrid w:val="0"/>
              <w:jc w:val="both"/>
              <w:rPr>
                <w:rFonts w:ascii="Verdana" w:hAnsi="Verdana" w:cs="Arial"/>
                <w:bCs/>
                <w:sz w:val="20"/>
                <w:szCs w:val="20"/>
              </w:rPr>
            </w:pPr>
            <w:r w:rsidRPr="003C0940">
              <w:rPr>
                <w:rFonts w:ascii="Verdana" w:hAnsi="Verdana" w:cs="Arial"/>
                <w:bCs/>
                <w:sz w:val="20"/>
                <w:szCs w:val="20"/>
              </w:rPr>
              <w:t>On April 26, 2012. Municipality of Lapovo and FCC Vrbak (then .A.S.A. Vrbak) concluded the Annex to the Agreement on waste collection, which was registered with the Municipality of Lapovo under number 352-14/2012-II, and with .A.S.A. Vrbak under number 232/012 (hereinafter referred to as: "</w:t>
            </w:r>
            <w:r w:rsidRPr="003C0940">
              <w:rPr>
                <w:rFonts w:ascii="Verdana" w:hAnsi="Verdana" w:cs="Arial"/>
                <w:b/>
                <w:sz w:val="20"/>
                <w:szCs w:val="20"/>
              </w:rPr>
              <w:t>Annex to the Agreement</w:t>
            </w:r>
            <w:r w:rsidRPr="003C0940">
              <w:rPr>
                <w:rFonts w:ascii="Verdana" w:hAnsi="Verdana" w:cs="Arial"/>
                <w:bCs/>
                <w:sz w:val="20"/>
                <w:szCs w:val="20"/>
              </w:rPr>
              <w:t>")</w:t>
            </w:r>
            <w:r w:rsidR="00B10E65" w:rsidRPr="003C0940">
              <w:t xml:space="preserve"> </w:t>
            </w:r>
            <w:r w:rsidR="00B10E65" w:rsidRPr="003C0940">
              <w:rPr>
                <w:rFonts w:ascii="Verdana" w:hAnsi="Verdana" w:cs="Arial"/>
                <w:bCs/>
                <w:sz w:val="20"/>
                <w:szCs w:val="20"/>
              </w:rPr>
              <w:t xml:space="preserve">and Annex 2 of the Agreement on waste collection dated 19.12.2023. which was registered with the Client under number 352-139/23-I dated 19.12.2023. and registered with the Operator under number 08-16 from 19.12.2023. (hereinafter referred to as: </w:t>
            </w:r>
            <w:r w:rsidR="00B10E65" w:rsidRPr="003C0940">
              <w:rPr>
                <w:rFonts w:ascii="Verdana" w:hAnsi="Verdana" w:cs="Arial"/>
                <w:b/>
                <w:sz w:val="20"/>
                <w:szCs w:val="20"/>
              </w:rPr>
              <w:t>"Annex 2 of the Agreement"</w:t>
            </w:r>
            <w:r w:rsidR="00B10E65" w:rsidRPr="003C0940">
              <w:rPr>
                <w:rFonts w:ascii="Verdana" w:hAnsi="Verdana" w:cs="Arial"/>
                <w:bCs/>
                <w:sz w:val="20"/>
                <w:szCs w:val="20"/>
              </w:rPr>
              <w:t>).</w:t>
            </w:r>
          </w:p>
          <w:p w14:paraId="77DDEAD9" w14:textId="77777777" w:rsidR="006419FF" w:rsidRPr="003C0940" w:rsidRDefault="006419FF">
            <w:pPr>
              <w:keepNext/>
              <w:snapToGrid w:val="0"/>
              <w:jc w:val="both"/>
              <w:rPr>
                <w:rFonts w:ascii="Verdana" w:hAnsi="Verdana" w:cs="Arial"/>
                <w:bCs/>
                <w:sz w:val="20"/>
                <w:szCs w:val="20"/>
              </w:rPr>
            </w:pPr>
          </w:p>
          <w:p w14:paraId="0C457014" w14:textId="3FAB43CF" w:rsidR="00AE0D69" w:rsidRPr="003C0940" w:rsidRDefault="00D1494C">
            <w:pPr>
              <w:keepNext/>
              <w:snapToGrid w:val="0"/>
              <w:jc w:val="both"/>
              <w:rPr>
                <w:rFonts w:ascii="Verdana" w:hAnsi="Verdana" w:cs="Arial"/>
                <w:bCs/>
                <w:sz w:val="20"/>
                <w:szCs w:val="20"/>
              </w:rPr>
            </w:pPr>
            <w:r w:rsidRPr="003C0940">
              <w:rPr>
                <w:rFonts w:ascii="Verdana" w:hAnsi="Verdana" w:cs="Arial"/>
                <w:bCs/>
                <w:sz w:val="20"/>
                <w:szCs w:val="20"/>
              </w:rPr>
              <w:t xml:space="preserve">The </w:t>
            </w:r>
            <w:r w:rsidR="009F19D5" w:rsidRPr="003C0940">
              <w:rPr>
                <w:rFonts w:ascii="Verdana" w:hAnsi="Verdana" w:cs="Arial"/>
                <w:bCs/>
                <w:sz w:val="20"/>
                <w:szCs w:val="20"/>
              </w:rPr>
              <w:t>P</w:t>
            </w:r>
            <w:r w:rsidR="00AA68F6" w:rsidRPr="003C0940">
              <w:rPr>
                <w:rFonts w:ascii="Verdana" w:hAnsi="Verdana" w:cs="Arial"/>
                <w:bCs/>
                <w:sz w:val="20"/>
                <w:szCs w:val="20"/>
              </w:rPr>
              <w:t>ar</w:t>
            </w:r>
            <w:r w:rsidRPr="003C0940">
              <w:rPr>
                <w:rFonts w:ascii="Verdana" w:hAnsi="Verdana" w:cs="Arial"/>
                <w:bCs/>
                <w:sz w:val="20"/>
                <w:szCs w:val="20"/>
              </w:rPr>
              <w:t>ties</w:t>
            </w:r>
            <w:r w:rsidR="009F19D5" w:rsidRPr="003C0940">
              <w:rPr>
                <w:rFonts w:ascii="Verdana" w:hAnsi="Verdana" w:cs="Arial"/>
                <w:bCs/>
                <w:sz w:val="20"/>
                <w:szCs w:val="20"/>
              </w:rPr>
              <w:t xml:space="preserve"> agree to the conclusion</w:t>
            </w:r>
            <w:r w:rsidR="006419FF" w:rsidRPr="003C0940">
              <w:rPr>
                <w:rFonts w:ascii="Verdana" w:hAnsi="Verdana" w:cs="Arial"/>
                <w:bCs/>
                <w:sz w:val="20"/>
                <w:szCs w:val="20"/>
              </w:rPr>
              <w:t xml:space="preserve"> of this</w:t>
            </w:r>
            <w:r w:rsidR="006F29B8" w:rsidRPr="003C0940">
              <w:rPr>
                <w:rFonts w:ascii="Verdana" w:hAnsi="Verdana" w:cs="Arial"/>
                <w:bCs/>
                <w:sz w:val="20"/>
                <w:szCs w:val="20"/>
              </w:rPr>
              <w:t xml:space="preserve"> Annex 3 of the Agreement, which </w:t>
            </w:r>
            <w:r w:rsidR="009B5C17" w:rsidRPr="003C0940">
              <w:rPr>
                <w:rFonts w:ascii="Verdana" w:hAnsi="Verdana" w:cs="Arial"/>
                <w:bCs/>
                <w:sz w:val="20"/>
                <w:szCs w:val="20"/>
              </w:rPr>
              <w:t xml:space="preserve">determines the new price of waste collection from the territory of the municipality of Lapovo increased by the rate of </w:t>
            </w:r>
            <w:r w:rsidR="009B5C17" w:rsidRPr="003C0940">
              <w:rPr>
                <w:rFonts w:ascii="Verdana" w:hAnsi="Verdana" w:cs="Arial"/>
                <w:bCs/>
                <w:sz w:val="20"/>
                <w:szCs w:val="20"/>
              </w:rPr>
              <w:lastRenderedPageBreak/>
              <w:t xml:space="preserve">inflation </w:t>
            </w:r>
            <w:r w:rsidR="004057E1" w:rsidRPr="003C0940">
              <w:rPr>
                <w:rFonts w:ascii="Verdana" w:hAnsi="Verdana" w:cs="Arial"/>
                <w:bCs/>
                <w:sz w:val="20"/>
                <w:szCs w:val="20"/>
              </w:rPr>
              <w:t>published by the Republic of Serbia Statistics Institute (hereinafter</w:t>
            </w:r>
            <w:r w:rsidR="008730E8" w:rsidRPr="003C0940">
              <w:rPr>
                <w:rFonts w:ascii="Verdana" w:hAnsi="Verdana" w:cs="Arial"/>
                <w:bCs/>
                <w:sz w:val="20"/>
                <w:szCs w:val="20"/>
              </w:rPr>
              <w:t xml:space="preserve">: </w:t>
            </w:r>
            <w:r w:rsidR="008730E8" w:rsidRPr="003C0940">
              <w:rPr>
                <w:rFonts w:ascii="Verdana" w:hAnsi="Verdana" w:cs="Arial"/>
                <w:b/>
                <w:sz w:val="20"/>
                <w:szCs w:val="20"/>
              </w:rPr>
              <w:t>Attachment 1 of Annex 3 – „Price List“</w:t>
            </w:r>
            <w:r w:rsidR="008730E8" w:rsidRPr="003C0940">
              <w:rPr>
                <w:rFonts w:ascii="Verdana" w:hAnsi="Verdana" w:cs="Arial"/>
                <w:bCs/>
                <w:sz w:val="20"/>
                <w:szCs w:val="20"/>
              </w:rPr>
              <w:t>)</w:t>
            </w:r>
          </w:p>
          <w:p w14:paraId="3B249D32" w14:textId="77777777" w:rsidR="00AE0D69" w:rsidRPr="003C0940" w:rsidRDefault="00AE0D69">
            <w:pPr>
              <w:keepNext/>
              <w:snapToGrid w:val="0"/>
              <w:jc w:val="both"/>
              <w:rPr>
                <w:rFonts w:ascii="Verdana" w:hAnsi="Verdana" w:cs="Arial"/>
                <w:bCs/>
                <w:sz w:val="20"/>
                <w:szCs w:val="20"/>
              </w:rPr>
            </w:pPr>
          </w:p>
          <w:p w14:paraId="02377E09" w14:textId="35D24265" w:rsidR="0022078F" w:rsidRPr="003C0940" w:rsidRDefault="0017237D" w:rsidP="0022078F">
            <w:pPr>
              <w:keepNext/>
              <w:snapToGrid w:val="0"/>
              <w:jc w:val="both"/>
              <w:rPr>
                <w:rFonts w:ascii="Verdana" w:hAnsi="Verdana"/>
                <w:sz w:val="20"/>
                <w:szCs w:val="20"/>
              </w:rPr>
            </w:pPr>
            <w:r w:rsidRPr="003C0940">
              <w:rPr>
                <w:rFonts w:ascii="Verdana" w:hAnsi="Verdana"/>
                <w:sz w:val="20"/>
                <w:szCs w:val="20"/>
              </w:rPr>
              <w:t xml:space="preserve">Also, the Parties agree to the conclusion of this Annex 3 of the Agreement, </w:t>
            </w:r>
            <w:r w:rsidR="00BF2D56" w:rsidRPr="003C0940">
              <w:rPr>
                <w:rFonts w:ascii="Verdana" w:hAnsi="Verdana"/>
                <w:sz w:val="20"/>
                <w:szCs w:val="20"/>
              </w:rPr>
              <w:t>whi</w:t>
            </w:r>
            <w:r w:rsidR="00E665D4" w:rsidRPr="003C0940">
              <w:rPr>
                <w:rFonts w:ascii="Verdana" w:hAnsi="Verdana"/>
                <w:sz w:val="20"/>
                <w:szCs w:val="20"/>
              </w:rPr>
              <w:t xml:space="preserve">ch establishes the Waste Collection </w:t>
            </w:r>
            <w:r w:rsidR="00A40D9F" w:rsidRPr="003C0940">
              <w:rPr>
                <w:rFonts w:ascii="Verdana" w:hAnsi="Verdana"/>
                <w:sz w:val="20"/>
                <w:szCs w:val="20"/>
              </w:rPr>
              <w:t>Plan in the territory of the municipality of Lapovo, which will be an inte</w:t>
            </w:r>
            <w:r w:rsidR="00651DEF" w:rsidRPr="003C0940">
              <w:rPr>
                <w:rFonts w:ascii="Verdana" w:hAnsi="Verdana"/>
                <w:sz w:val="20"/>
                <w:szCs w:val="20"/>
              </w:rPr>
              <w:t xml:space="preserve">gral part of Annex 3 of the Agreement as </w:t>
            </w:r>
            <w:r w:rsidR="00651DEF" w:rsidRPr="003C0940">
              <w:rPr>
                <w:rFonts w:ascii="Verdana" w:hAnsi="Verdana"/>
                <w:b/>
                <w:bCs/>
                <w:sz w:val="20"/>
                <w:szCs w:val="20"/>
              </w:rPr>
              <w:t>Attachment 3.</w:t>
            </w:r>
          </w:p>
          <w:p w14:paraId="047A2113" w14:textId="77777777" w:rsidR="00D01C84" w:rsidRPr="003C0940" w:rsidRDefault="00D01C84" w:rsidP="0022078F">
            <w:pPr>
              <w:keepNext/>
              <w:snapToGrid w:val="0"/>
              <w:jc w:val="both"/>
              <w:rPr>
                <w:rFonts w:ascii="Verdana" w:hAnsi="Verdana"/>
                <w:b/>
                <w:bCs/>
                <w:sz w:val="20"/>
                <w:szCs w:val="20"/>
              </w:rPr>
            </w:pPr>
          </w:p>
          <w:p w14:paraId="7EB7806D" w14:textId="77777777" w:rsidR="0022078F" w:rsidRPr="003C0940" w:rsidRDefault="00387271" w:rsidP="0022078F">
            <w:pPr>
              <w:keepNext/>
              <w:snapToGrid w:val="0"/>
              <w:jc w:val="both"/>
              <w:rPr>
                <w:rFonts w:ascii="Verdana" w:hAnsi="Verdana"/>
                <w:sz w:val="20"/>
                <w:szCs w:val="20"/>
                <w:lang w:val="en-US"/>
              </w:rPr>
            </w:pPr>
            <w:r w:rsidRPr="003C0940">
              <w:rPr>
                <w:rFonts w:ascii="Verdana" w:hAnsi="Verdana"/>
                <w:sz w:val="20"/>
                <w:szCs w:val="20"/>
                <w:lang w:val="en-US"/>
              </w:rPr>
              <w:t>THE</w:t>
            </w:r>
            <w:r w:rsidR="00D500FD" w:rsidRPr="003C0940">
              <w:rPr>
                <w:rFonts w:ascii="Verdana" w:hAnsi="Verdana"/>
                <w:sz w:val="20"/>
                <w:szCs w:val="20"/>
                <w:lang w:val="en-US"/>
              </w:rPr>
              <w:t xml:space="preserve"> PARTIES HAVE AGREED AS FOLLOWS:</w:t>
            </w:r>
          </w:p>
          <w:p w14:paraId="44DFE3D9" w14:textId="77777777" w:rsidR="00D500FD" w:rsidRPr="003C0940" w:rsidRDefault="00D500FD" w:rsidP="0022078F">
            <w:pPr>
              <w:keepNext/>
              <w:snapToGrid w:val="0"/>
              <w:jc w:val="both"/>
              <w:rPr>
                <w:rFonts w:ascii="Verdana" w:hAnsi="Verdana"/>
                <w:sz w:val="20"/>
                <w:szCs w:val="20"/>
                <w:lang w:val="en-US"/>
              </w:rPr>
            </w:pPr>
          </w:p>
          <w:p w14:paraId="4FF5E5C3" w14:textId="77777777" w:rsidR="00D500FD" w:rsidRPr="003C0940" w:rsidRDefault="006E4D87" w:rsidP="0022078F">
            <w:pPr>
              <w:keepNext/>
              <w:snapToGrid w:val="0"/>
              <w:jc w:val="both"/>
              <w:rPr>
                <w:rFonts w:ascii="Verdana" w:hAnsi="Verdana"/>
                <w:b/>
                <w:bCs/>
                <w:sz w:val="20"/>
                <w:szCs w:val="20"/>
                <w:lang w:val="en-US"/>
              </w:rPr>
            </w:pPr>
            <w:r w:rsidRPr="003C0940">
              <w:rPr>
                <w:rFonts w:ascii="Verdana" w:hAnsi="Verdana"/>
                <w:b/>
                <w:bCs/>
                <w:sz w:val="20"/>
                <w:szCs w:val="20"/>
                <w:lang w:val="en-US"/>
              </w:rPr>
              <w:t>I</w:t>
            </w:r>
            <w:r w:rsidRPr="003C0940">
              <w:rPr>
                <w:rFonts w:ascii="Verdana" w:hAnsi="Verdana"/>
                <w:sz w:val="20"/>
                <w:szCs w:val="20"/>
                <w:lang w:val="en-US"/>
              </w:rPr>
              <w:t xml:space="preserve"> </w:t>
            </w:r>
            <w:r w:rsidRPr="003C0940">
              <w:rPr>
                <w:rFonts w:ascii="Verdana" w:hAnsi="Verdana"/>
                <w:b/>
                <w:bCs/>
                <w:sz w:val="20"/>
                <w:szCs w:val="20"/>
                <w:lang w:val="en-US"/>
              </w:rPr>
              <w:t>THE SUBJECT</w:t>
            </w:r>
            <w:r w:rsidR="00F376FE" w:rsidRPr="003C0940">
              <w:rPr>
                <w:rFonts w:ascii="Verdana" w:hAnsi="Verdana"/>
                <w:b/>
                <w:bCs/>
                <w:sz w:val="20"/>
                <w:szCs w:val="20"/>
                <w:lang w:val="en-US"/>
              </w:rPr>
              <w:t xml:space="preserve"> OF ANNEX 3 OF THE AGREEMENT</w:t>
            </w:r>
          </w:p>
          <w:p w14:paraId="653A5C03" w14:textId="77777777" w:rsidR="00F376FE" w:rsidRPr="003C0940" w:rsidRDefault="00F376FE" w:rsidP="0022078F">
            <w:pPr>
              <w:keepNext/>
              <w:snapToGrid w:val="0"/>
              <w:jc w:val="both"/>
              <w:rPr>
                <w:rFonts w:ascii="Verdana" w:hAnsi="Verdana"/>
                <w:b/>
                <w:bCs/>
                <w:sz w:val="20"/>
                <w:szCs w:val="20"/>
                <w:lang w:val="en-US"/>
              </w:rPr>
            </w:pPr>
          </w:p>
          <w:p w14:paraId="5DCA5F86" w14:textId="77777777" w:rsidR="00F376FE" w:rsidRPr="003C0940" w:rsidRDefault="00F376FE" w:rsidP="00F376FE">
            <w:pPr>
              <w:keepNext/>
              <w:snapToGrid w:val="0"/>
              <w:jc w:val="center"/>
              <w:rPr>
                <w:rFonts w:ascii="Verdana" w:hAnsi="Verdana"/>
                <w:b/>
                <w:bCs/>
                <w:sz w:val="20"/>
                <w:szCs w:val="20"/>
                <w:lang w:val="en-US"/>
              </w:rPr>
            </w:pPr>
            <w:r w:rsidRPr="003C0940">
              <w:rPr>
                <w:rFonts w:ascii="Verdana" w:hAnsi="Verdana"/>
                <w:b/>
                <w:bCs/>
                <w:sz w:val="20"/>
                <w:szCs w:val="20"/>
                <w:lang w:val="en-US"/>
              </w:rPr>
              <w:t>Article 1</w:t>
            </w:r>
          </w:p>
          <w:p w14:paraId="4991E909" w14:textId="77777777" w:rsidR="00F376FE" w:rsidRPr="003C0940" w:rsidRDefault="00F376FE" w:rsidP="0022078F">
            <w:pPr>
              <w:keepNext/>
              <w:snapToGrid w:val="0"/>
              <w:jc w:val="both"/>
              <w:rPr>
                <w:rFonts w:ascii="Verdana" w:hAnsi="Verdana"/>
                <w:sz w:val="20"/>
                <w:szCs w:val="20"/>
                <w:lang w:val="en-US"/>
              </w:rPr>
            </w:pPr>
          </w:p>
          <w:p w14:paraId="62651FBF" w14:textId="4CAF8045" w:rsidR="00F376FE" w:rsidRPr="003C0940" w:rsidRDefault="006B18CE" w:rsidP="006B18CE">
            <w:pPr>
              <w:keepNext/>
              <w:snapToGrid w:val="0"/>
              <w:jc w:val="both"/>
              <w:rPr>
                <w:rFonts w:ascii="Verdana" w:hAnsi="Verdana"/>
                <w:sz w:val="20"/>
                <w:szCs w:val="20"/>
                <w:lang w:val="en-US"/>
              </w:rPr>
            </w:pPr>
            <w:r w:rsidRPr="003C0940">
              <w:rPr>
                <w:rFonts w:ascii="Verdana" w:hAnsi="Verdana"/>
                <w:b/>
                <w:bCs/>
                <w:sz w:val="20"/>
                <w:szCs w:val="20"/>
                <w:lang w:val="en-US"/>
              </w:rPr>
              <w:t>1.1.</w:t>
            </w:r>
            <w:r w:rsidR="004C23A3" w:rsidRPr="003C0940">
              <w:rPr>
                <w:rFonts w:ascii="Verdana" w:hAnsi="Verdana"/>
                <w:b/>
                <w:bCs/>
                <w:sz w:val="20"/>
                <w:szCs w:val="20"/>
                <w:lang w:val="en-US"/>
              </w:rPr>
              <w:t xml:space="preserve"> </w:t>
            </w:r>
            <w:r w:rsidRPr="003C0940">
              <w:rPr>
                <w:rFonts w:ascii="Verdana" w:hAnsi="Verdana"/>
                <w:sz w:val="20"/>
                <w:szCs w:val="20"/>
                <w:lang w:val="en-US"/>
              </w:rPr>
              <w:t>Article 1 of Annex 2 of the Agreement is amended so that it now reads:</w:t>
            </w:r>
          </w:p>
          <w:p w14:paraId="2EBA8855" w14:textId="77777777" w:rsidR="006B18CE" w:rsidRPr="003C0940" w:rsidRDefault="006B18CE" w:rsidP="006B18CE">
            <w:pPr>
              <w:keepNext/>
              <w:snapToGrid w:val="0"/>
              <w:jc w:val="both"/>
              <w:rPr>
                <w:rFonts w:ascii="Verdana" w:hAnsi="Verdana"/>
                <w:sz w:val="20"/>
                <w:szCs w:val="20"/>
                <w:lang w:val="en-US"/>
              </w:rPr>
            </w:pPr>
          </w:p>
          <w:p w14:paraId="281CA476" w14:textId="259C252E" w:rsidR="006B18CE" w:rsidRPr="003C0940" w:rsidRDefault="006B18CE" w:rsidP="006B18CE">
            <w:pPr>
              <w:keepNext/>
              <w:snapToGrid w:val="0"/>
              <w:jc w:val="both"/>
              <w:rPr>
                <w:rFonts w:ascii="Verdana" w:hAnsi="Verdana"/>
                <w:sz w:val="20"/>
                <w:szCs w:val="20"/>
                <w:lang w:val="en-US"/>
              </w:rPr>
            </w:pPr>
            <w:r w:rsidRPr="003C0940">
              <w:rPr>
                <w:rFonts w:ascii="Verdana" w:hAnsi="Verdana"/>
                <w:sz w:val="20"/>
                <w:szCs w:val="20"/>
                <w:lang w:val="en-US"/>
              </w:rPr>
              <w:t>The price of waste collection is 21</w:t>
            </w:r>
            <w:r w:rsidR="0077092F" w:rsidRPr="003C0940">
              <w:rPr>
                <w:rFonts w:ascii="Verdana" w:hAnsi="Verdana"/>
                <w:sz w:val="20"/>
                <w:szCs w:val="20"/>
                <w:lang w:val="en-US"/>
              </w:rPr>
              <w:t>6</w:t>
            </w:r>
            <w:r w:rsidRPr="003C0940">
              <w:rPr>
                <w:rFonts w:ascii="Verdana" w:hAnsi="Verdana"/>
                <w:sz w:val="20"/>
                <w:szCs w:val="20"/>
                <w:lang w:val="en-US"/>
              </w:rPr>
              <w:t>,</w:t>
            </w:r>
            <w:r w:rsidR="0077092F" w:rsidRPr="003C0940">
              <w:rPr>
                <w:rFonts w:ascii="Verdana" w:hAnsi="Verdana"/>
                <w:sz w:val="20"/>
                <w:szCs w:val="20"/>
                <w:lang w:val="en-US"/>
              </w:rPr>
              <w:t>2</w:t>
            </w:r>
            <w:r w:rsidRPr="003C0940">
              <w:rPr>
                <w:rFonts w:ascii="Verdana" w:hAnsi="Verdana"/>
                <w:sz w:val="20"/>
                <w:szCs w:val="20"/>
                <w:lang w:val="en-US"/>
              </w:rPr>
              <w:t xml:space="preserve"> r</w:t>
            </w:r>
            <w:proofErr w:type="spellStart"/>
            <w:r w:rsidRPr="003C0940">
              <w:rPr>
                <w:rFonts w:ascii="Verdana" w:hAnsi="Verdana"/>
                <w:sz w:val="20"/>
                <w:szCs w:val="20"/>
                <w:lang w:val="en-US"/>
              </w:rPr>
              <w:t>sd</w:t>
            </w:r>
            <w:proofErr w:type="spellEnd"/>
            <w:r w:rsidRPr="003C0940">
              <w:rPr>
                <w:rFonts w:ascii="Verdana" w:hAnsi="Verdana"/>
                <w:sz w:val="20"/>
                <w:szCs w:val="20"/>
                <w:lang w:val="en-US"/>
              </w:rPr>
              <w:t xml:space="preserve"> per person </w:t>
            </w:r>
            <w:r w:rsidR="00DF631B" w:rsidRPr="003C0940">
              <w:rPr>
                <w:rFonts w:ascii="Verdana" w:hAnsi="Verdana"/>
                <w:sz w:val="20"/>
                <w:szCs w:val="20"/>
                <w:lang w:val="en-US"/>
              </w:rPr>
              <w:t>per month, plus VAT.</w:t>
            </w:r>
          </w:p>
          <w:p w14:paraId="7A037FD3" w14:textId="77777777" w:rsidR="00DF631B" w:rsidRPr="003C0940" w:rsidRDefault="00DF631B" w:rsidP="006B18CE">
            <w:pPr>
              <w:keepNext/>
              <w:snapToGrid w:val="0"/>
              <w:jc w:val="both"/>
              <w:rPr>
                <w:rFonts w:ascii="Verdana" w:hAnsi="Verdana"/>
                <w:sz w:val="20"/>
                <w:szCs w:val="20"/>
                <w:lang w:val="en-US"/>
              </w:rPr>
            </w:pPr>
          </w:p>
          <w:p w14:paraId="3F17181F" w14:textId="6871918A" w:rsidR="00DF631B" w:rsidRPr="003C0940" w:rsidRDefault="00B00EFD" w:rsidP="006B18CE">
            <w:pPr>
              <w:keepNext/>
              <w:snapToGrid w:val="0"/>
              <w:jc w:val="both"/>
              <w:rPr>
                <w:rFonts w:ascii="Verdana" w:hAnsi="Verdana"/>
                <w:sz w:val="20"/>
                <w:szCs w:val="20"/>
                <w:lang w:val="en-US"/>
              </w:rPr>
            </w:pPr>
            <w:r w:rsidRPr="003C0940">
              <w:rPr>
                <w:rFonts w:ascii="Verdana" w:hAnsi="Verdana"/>
                <w:sz w:val="20"/>
                <w:szCs w:val="20"/>
                <w:lang w:val="en-US"/>
              </w:rPr>
              <w:t xml:space="preserve">For socially vulnerable </w:t>
            </w:r>
            <w:r w:rsidR="00833B97" w:rsidRPr="003C0940">
              <w:rPr>
                <w:rFonts w:ascii="Verdana" w:hAnsi="Verdana"/>
                <w:sz w:val="20"/>
                <w:szCs w:val="20"/>
                <w:lang w:val="en-US"/>
              </w:rPr>
              <w:t>people</w:t>
            </w:r>
            <w:r w:rsidRPr="003C0940">
              <w:rPr>
                <w:rFonts w:ascii="Verdana" w:hAnsi="Verdana"/>
                <w:sz w:val="20"/>
                <w:szCs w:val="20"/>
                <w:lang w:val="en-US"/>
              </w:rPr>
              <w:t>, a reduced pri</w:t>
            </w:r>
            <w:r w:rsidR="00833B97" w:rsidRPr="003C0940">
              <w:rPr>
                <w:rFonts w:ascii="Verdana" w:hAnsi="Verdana"/>
                <w:sz w:val="20"/>
                <w:szCs w:val="20"/>
                <w:lang w:val="en-US"/>
              </w:rPr>
              <w:t xml:space="preserve">ce of 120,00 </w:t>
            </w:r>
            <w:proofErr w:type="spellStart"/>
            <w:r w:rsidR="00833B97" w:rsidRPr="003C0940">
              <w:rPr>
                <w:rFonts w:ascii="Verdana" w:hAnsi="Verdana"/>
                <w:sz w:val="20"/>
                <w:szCs w:val="20"/>
                <w:lang w:val="en-US"/>
              </w:rPr>
              <w:t>rsd</w:t>
            </w:r>
            <w:proofErr w:type="spellEnd"/>
            <w:r w:rsidR="00833B97" w:rsidRPr="003C0940">
              <w:rPr>
                <w:rFonts w:ascii="Verdana" w:hAnsi="Verdana"/>
                <w:sz w:val="20"/>
                <w:szCs w:val="20"/>
                <w:lang w:val="en-US"/>
              </w:rPr>
              <w:t xml:space="preserve"> per person per month, plus VAT.</w:t>
            </w:r>
          </w:p>
          <w:p w14:paraId="03B8B94F" w14:textId="77777777" w:rsidR="00833B97" w:rsidRPr="003C0940" w:rsidRDefault="00833B97" w:rsidP="006B18CE">
            <w:pPr>
              <w:keepNext/>
              <w:snapToGrid w:val="0"/>
              <w:jc w:val="both"/>
              <w:rPr>
                <w:rFonts w:ascii="Verdana" w:hAnsi="Verdana"/>
                <w:sz w:val="20"/>
                <w:szCs w:val="20"/>
                <w:lang w:val="en-US"/>
              </w:rPr>
            </w:pPr>
          </w:p>
          <w:p w14:paraId="5561684B" w14:textId="501CF28B" w:rsidR="00C63874" w:rsidRPr="003C0940" w:rsidRDefault="00833B97" w:rsidP="006B18CE">
            <w:pPr>
              <w:keepNext/>
              <w:snapToGrid w:val="0"/>
              <w:jc w:val="both"/>
              <w:rPr>
                <w:rFonts w:ascii="Verdana" w:hAnsi="Verdana"/>
                <w:sz w:val="20"/>
                <w:szCs w:val="20"/>
                <w:lang w:val="en-US"/>
              </w:rPr>
            </w:pPr>
            <w:r w:rsidRPr="003C0940">
              <w:rPr>
                <w:rFonts w:ascii="Verdana" w:hAnsi="Verdana"/>
                <w:sz w:val="20"/>
                <w:szCs w:val="20"/>
                <w:lang w:val="en-US"/>
              </w:rPr>
              <w:t xml:space="preserve">The price of municipal waste collection for legal entities up to </w:t>
            </w:r>
            <w:r w:rsidR="00F878E5" w:rsidRPr="003C0940">
              <w:rPr>
                <w:rFonts w:ascii="Verdana" w:hAnsi="Verdana"/>
                <w:sz w:val="20"/>
                <w:szCs w:val="20"/>
                <w:lang w:val="en-US"/>
              </w:rPr>
              <w:t>35m2 and cooperatives, entrepreneurs, as</w:t>
            </w:r>
            <w:r w:rsidR="00C63874" w:rsidRPr="003C0940">
              <w:rPr>
                <w:rFonts w:ascii="Verdana" w:hAnsi="Verdana"/>
                <w:sz w:val="20"/>
                <w:szCs w:val="20"/>
                <w:lang w:val="en-US"/>
              </w:rPr>
              <w:t>sociations (flat rate) is 1.</w:t>
            </w:r>
            <w:r w:rsidR="0077092F" w:rsidRPr="003C0940">
              <w:rPr>
                <w:rFonts w:ascii="Verdana" w:hAnsi="Verdana"/>
                <w:sz w:val="20"/>
                <w:szCs w:val="20"/>
                <w:lang w:val="en-US"/>
              </w:rPr>
              <w:t>300,00</w:t>
            </w:r>
            <w:r w:rsidR="00C63874" w:rsidRPr="003C0940">
              <w:rPr>
                <w:rFonts w:ascii="Verdana" w:hAnsi="Verdana"/>
                <w:sz w:val="20"/>
                <w:szCs w:val="20"/>
                <w:lang w:val="en-US"/>
              </w:rPr>
              <w:t xml:space="preserve"> </w:t>
            </w:r>
            <w:proofErr w:type="spellStart"/>
            <w:r w:rsidR="00C63874" w:rsidRPr="003C0940">
              <w:rPr>
                <w:rFonts w:ascii="Verdana" w:hAnsi="Verdana"/>
                <w:sz w:val="20"/>
                <w:szCs w:val="20"/>
                <w:lang w:val="en-US"/>
              </w:rPr>
              <w:t>rsd</w:t>
            </w:r>
            <w:proofErr w:type="spellEnd"/>
            <w:r w:rsidR="00C63874" w:rsidRPr="003C0940">
              <w:rPr>
                <w:rFonts w:ascii="Verdana" w:hAnsi="Verdana"/>
                <w:sz w:val="20"/>
                <w:szCs w:val="20"/>
                <w:lang w:val="en-US"/>
              </w:rPr>
              <w:t>, plus VAT</w:t>
            </w:r>
            <w:r w:rsidR="00E32962" w:rsidRPr="003C0940">
              <w:rPr>
                <w:rFonts w:ascii="Verdana" w:hAnsi="Verdana"/>
                <w:sz w:val="20"/>
                <w:szCs w:val="20"/>
                <w:lang w:val="en-US"/>
              </w:rPr>
              <w:t>,</w:t>
            </w:r>
            <w:r w:rsidR="00E32962" w:rsidRPr="003C0940">
              <w:t xml:space="preserve"> </w:t>
            </w:r>
            <w:r w:rsidR="00E32962" w:rsidRPr="003C0940">
              <w:rPr>
                <w:rFonts w:ascii="Verdana" w:hAnsi="Verdana"/>
                <w:sz w:val="20"/>
                <w:szCs w:val="20"/>
                <w:lang w:val="en-US"/>
              </w:rPr>
              <w:t>excluding catering and food facilities, kiosks and other facilities with a similar type of activity for which the full flat rate or price per</w:t>
            </w:r>
            <w:r w:rsidR="00DE22AB" w:rsidRPr="003C0940">
              <w:rPr>
                <w:rFonts w:ascii="Verdana" w:hAnsi="Verdana"/>
                <w:sz w:val="20"/>
                <w:szCs w:val="20"/>
                <w:lang w:val="en-US"/>
              </w:rPr>
              <w:t xml:space="preserve"> square meter</w:t>
            </w:r>
            <w:r w:rsidR="00E32962" w:rsidRPr="003C0940">
              <w:rPr>
                <w:rFonts w:ascii="Verdana" w:hAnsi="Verdana"/>
                <w:sz w:val="20"/>
                <w:szCs w:val="20"/>
                <w:lang w:val="en-US"/>
              </w:rPr>
              <w:t xml:space="preserve"> </w:t>
            </w:r>
            <w:r w:rsidR="00DE22AB" w:rsidRPr="003C0940">
              <w:rPr>
                <w:rFonts w:ascii="Verdana" w:hAnsi="Verdana"/>
                <w:sz w:val="20"/>
                <w:szCs w:val="20"/>
                <w:lang w:val="en-US"/>
              </w:rPr>
              <w:t>(</w:t>
            </w:r>
            <w:r w:rsidR="00E32962" w:rsidRPr="003C0940">
              <w:rPr>
                <w:rFonts w:ascii="Verdana" w:hAnsi="Verdana"/>
                <w:sz w:val="20"/>
                <w:szCs w:val="20"/>
                <w:lang w:val="en-US"/>
              </w:rPr>
              <w:t>m</w:t>
            </w:r>
            <w:r w:rsidR="00E32962" w:rsidRPr="003C0940">
              <w:rPr>
                <w:rFonts w:ascii="Verdana" w:hAnsi="Verdana"/>
                <w:sz w:val="20"/>
                <w:szCs w:val="20"/>
                <w:vertAlign w:val="superscript"/>
                <w:lang w:val="en-US"/>
              </w:rPr>
              <w:t>2</w:t>
            </w:r>
            <w:r w:rsidR="00DE22AB" w:rsidRPr="003C0940">
              <w:rPr>
                <w:rFonts w:ascii="Verdana" w:hAnsi="Verdana"/>
                <w:sz w:val="20"/>
                <w:szCs w:val="20"/>
                <w:lang w:val="en-US"/>
              </w:rPr>
              <w:t>)</w:t>
            </w:r>
            <w:r w:rsidR="00E32962" w:rsidRPr="003C0940">
              <w:rPr>
                <w:rFonts w:ascii="Verdana" w:hAnsi="Verdana"/>
                <w:sz w:val="20"/>
                <w:szCs w:val="20"/>
                <w:lang w:val="en-US"/>
              </w:rPr>
              <w:t xml:space="preserve"> is calculated.</w:t>
            </w:r>
          </w:p>
          <w:p w14:paraId="60921DE8" w14:textId="77777777" w:rsidR="00E32962" w:rsidRPr="003C0940" w:rsidRDefault="00E32962" w:rsidP="006B18CE">
            <w:pPr>
              <w:keepNext/>
              <w:snapToGrid w:val="0"/>
              <w:jc w:val="both"/>
              <w:rPr>
                <w:rFonts w:ascii="Verdana" w:hAnsi="Verdana"/>
                <w:sz w:val="20"/>
                <w:szCs w:val="20"/>
                <w:lang w:val="en-US"/>
              </w:rPr>
            </w:pPr>
          </w:p>
          <w:p w14:paraId="6BAD39BC" w14:textId="101DAAD6" w:rsidR="00C63874" w:rsidRPr="003C0940" w:rsidRDefault="00C63874" w:rsidP="006B18CE">
            <w:pPr>
              <w:keepNext/>
              <w:snapToGrid w:val="0"/>
              <w:jc w:val="both"/>
              <w:rPr>
                <w:rFonts w:ascii="Verdana" w:hAnsi="Verdana"/>
                <w:sz w:val="20"/>
                <w:szCs w:val="20"/>
                <w:lang w:val="en-US"/>
              </w:rPr>
            </w:pPr>
            <w:r w:rsidRPr="003C0940">
              <w:rPr>
                <w:rFonts w:ascii="Verdana" w:hAnsi="Verdana"/>
                <w:sz w:val="20"/>
                <w:szCs w:val="20"/>
                <w:lang w:val="en-US"/>
              </w:rPr>
              <w:t xml:space="preserve">The price of municipal waste collection for legal entities from </w:t>
            </w:r>
            <w:r w:rsidR="00E3748E" w:rsidRPr="003C0940">
              <w:rPr>
                <w:rFonts w:ascii="Verdana" w:hAnsi="Verdana"/>
                <w:sz w:val="20"/>
                <w:szCs w:val="20"/>
                <w:lang w:val="en-US"/>
              </w:rPr>
              <w:t>36</w:t>
            </w:r>
            <w:r w:rsidR="00970EE1" w:rsidRPr="003C0940">
              <w:rPr>
                <w:rFonts w:ascii="Verdana" w:hAnsi="Verdana"/>
                <w:sz w:val="20"/>
                <w:szCs w:val="20"/>
                <w:lang w:val="en-US"/>
              </w:rPr>
              <w:t xml:space="preserve">m2 to 50m2 and cooperatives, </w:t>
            </w:r>
            <w:r w:rsidR="001D405A" w:rsidRPr="003C0940">
              <w:rPr>
                <w:rFonts w:ascii="Verdana" w:hAnsi="Verdana"/>
                <w:sz w:val="20"/>
                <w:szCs w:val="20"/>
                <w:lang w:val="en-US"/>
              </w:rPr>
              <w:t>en</w:t>
            </w:r>
            <w:r w:rsidR="0068725A" w:rsidRPr="003C0940">
              <w:rPr>
                <w:rFonts w:ascii="Verdana" w:hAnsi="Verdana"/>
                <w:sz w:val="20"/>
                <w:szCs w:val="20"/>
                <w:lang w:val="en-US"/>
              </w:rPr>
              <w:t xml:space="preserve">trepreneurs, associations (flat rate) is </w:t>
            </w:r>
            <w:r w:rsidR="00656B3D" w:rsidRPr="003C0940">
              <w:rPr>
                <w:rFonts w:ascii="Verdana" w:hAnsi="Verdana"/>
                <w:sz w:val="20"/>
                <w:szCs w:val="20"/>
                <w:lang w:val="en-US"/>
              </w:rPr>
              <w:t>1.</w:t>
            </w:r>
            <w:r w:rsidR="0077092F" w:rsidRPr="003C0940">
              <w:rPr>
                <w:rFonts w:ascii="Verdana" w:hAnsi="Verdana"/>
                <w:sz w:val="20"/>
                <w:szCs w:val="20"/>
                <w:lang w:val="en-US"/>
              </w:rPr>
              <w:t>842,02</w:t>
            </w:r>
            <w:r w:rsidR="00656B3D" w:rsidRPr="003C0940">
              <w:rPr>
                <w:rFonts w:ascii="Verdana" w:hAnsi="Verdana"/>
                <w:sz w:val="20"/>
                <w:szCs w:val="20"/>
                <w:lang w:val="en-US"/>
              </w:rPr>
              <w:t>, plus VAT.</w:t>
            </w:r>
          </w:p>
          <w:p w14:paraId="084C98ED" w14:textId="77777777" w:rsidR="00656B3D" w:rsidRPr="003C0940" w:rsidRDefault="00656B3D" w:rsidP="006B18CE">
            <w:pPr>
              <w:keepNext/>
              <w:snapToGrid w:val="0"/>
              <w:jc w:val="both"/>
              <w:rPr>
                <w:rFonts w:ascii="Verdana" w:hAnsi="Verdana"/>
                <w:sz w:val="20"/>
                <w:szCs w:val="20"/>
                <w:lang w:val="en-US"/>
              </w:rPr>
            </w:pPr>
          </w:p>
          <w:p w14:paraId="4077A221" w14:textId="07345E24" w:rsidR="00656B3D" w:rsidRPr="003C0940" w:rsidRDefault="00656B3D" w:rsidP="006B18CE">
            <w:pPr>
              <w:keepNext/>
              <w:snapToGrid w:val="0"/>
              <w:jc w:val="both"/>
              <w:rPr>
                <w:rFonts w:ascii="Verdana" w:hAnsi="Verdana"/>
                <w:sz w:val="20"/>
                <w:szCs w:val="20"/>
                <w:lang w:val="en-US"/>
              </w:rPr>
            </w:pPr>
            <w:r w:rsidRPr="003C0940">
              <w:rPr>
                <w:rFonts w:ascii="Verdana" w:hAnsi="Verdana"/>
                <w:sz w:val="20"/>
                <w:szCs w:val="20"/>
                <w:lang w:val="en-US"/>
              </w:rPr>
              <w:t xml:space="preserve">The price of municipal </w:t>
            </w:r>
            <w:r w:rsidR="00710379" w:rsidRPr="003C0940">
              <w:rPr>
                <w:rFonts w:ascii="Verdana" w:hAnsi="Verdana"/>
                <w:sz w:val="20"/>
                <w:szCs w:val="20"/>
                <w:lang w:val="en-US"/>
              </w:rPr>
              <w:t xml:space="preserve">waste collection for legal entities and entrepreneurs over 50m2 is </w:t>
            </w:r>
            <w:r w:rsidR="0077092F" w:rsidRPr="003C0940">
              <w:rPr>
                <w:rFonts w:ascii="Verdana" w:hAnsi="Verdana"/>
                <w:sz w:val="20"/>
                <w:szCs w:val="20"/>
                <w:lang w:val="en-US"/>
              </w:rPr>
              <w:t>43,24</w:t>
            </w:r>
            <w:r w:rsidR="00710379" w:rsidRPr="003C0940">
              <w:rPr>
                <w:rFonts w:ascii="Verdana" w:hAnsi="Verdana"/>
                <w:sz w:val="20"/>
                <w:szCs w:val="20"/>
                <w:lang w:val="en-US"/>
              </w:rPr>
              <w:t xml:space="preserve"> </w:t>
            </w:r>
            <w:proofErr w:type="spellStart"/>
            <w:r w:rsidR="00710379" w:rsidRPr="003C0940">
              <w:rPr>
                <w:rFonts w:ascii="Verdana" w:hAnsi="Verdana"/>
                <w:sz w:val="20"/>
                <w:szCs w:val="20"/>
                <w:lang w:val="en-US"/>
              </w:rPr>
              <w:t>rsd</w:t>
            </w:r>
            <w:proofErr w:type="spellEnd"/>
            <w:r w:rsidR="00710379" w:rsidRPr="003C0940">
              <w:rPr>
                <w:rFonts w:ascii="Verdana" w:hAnsi="Verdana"/>
                <w:sz w:val="20"/>
                <w:szCs w:val="20"/>
                <w:lang w:val="en-US"/>
              </w:rPr>
              <w:t xml:space="preserve"> per square meter, plus VAT.</w:t>
            </w:r>
          </w:p>
          <w:p w14:paraId="642DBD99" w14:textId="77777777" w:rsidR="00710379" w:rsidRPr="003C0940" w:rsidRDefault="00710379" w:rsidP="006B18CE">
            <w:pPr>
              <w:keepNext/>
              <w:snapToGrid w:val="0"/>
              <w:jc w:val="both"/>
              <w:rPr>
                <w:rFonts w:ascii="Verdana" w:hAnsi="Verdana"/>
                <w:sz w:val="20"/>
                <w:szCs w:val="20"/>
                <w:lang w:val="en-US"/>
              </w:rPr>
            </w:pPr>
          </w:p>
          <w:p w14:paraId="01CE8CED" w14:textId="291BAD24" w:rsidR="00F563D9" w:rsidRPr="003C0940" w:rsidRDefault="00F563D9" w:rsidP="00F563D9">
            <w:pPr>
              <w:keepNext/>
              <w:snapToGrid w:val="0"/>
              <w:jc w:val="both"/>
              <w:rPr>
                <w:rFonts w:ascii="Verdana" w:hAnsi="Verdana"/>
                <w:sz w:val="20"/>
                <w:szCs w:val="20"/>
                <w:lang w:val="en-US"/>
              </w:rPr>
            </w:pPr>
            <w:r w:rsidRPr="003C0940">
              <w:rPr>
                <w:rFonts w:ascii="Verdana" w:hAnsi="Verdana"/>
                <w:sz w:val="20"/>
                <w:szCs w:val="20"/>
                <w:lang w:val="en-US"/>
              </w:rPr>
              <w:t xml:space="preserve">A discount of 75% on the flat rate (from 36m2 to 50m2) or the calculated price per m2 (over 50m2) that is valid for entrepreneurs </w:t>
            </w:r>
            <w:r w:rsidR="003C0940" w:rsidRPr="003C0940">
              <w:rPr>
                <w:rFonts w:ascii="Verdana" w:hAnsi="Verdana"/>
                <w:sz w:val="20"/>
                <w:szCs w:val="20"/>
                <w:lang w:val="en-US"/>
              </w:rPr>
              <w:t xml:space="preserve">who perform their registered activity at the address of their residence within the residential </w:t>
            </w:r>
            <w:proofErr w:type="gramStart"/>
            <w:r w:rsidR="003C0940" w:rsidRPr="003C0940">
              <w:rPr>
                <w:rFonts w:ascii="Verdana" w:hAnsi="Verdana"/>
                <w:sz w:val="20"/>
                <w:szCs w:val="20"/>
                <w:lang w:val="en-US"/>
              </w:rPr>
              <w:t>area,</w:t>
            </w:r>
            <w:proofErr w:type="gramEnd"/>
            <w:r w:rsidR="003C0940" w:rsidRPr="003C0940">
              <w:rPr>
                <w:rFonts w:ascii="Verdana" w:hAnsi="Verdana"/>
                <w:sz w:val="20"/>
                <w:szCs w:val="20"/>
                <w:lang w:val="en-US"/>
              </w:rPr>
              <w:t xml:space="preserve"> without a separate office space,</w:t>
            </w:r>
            <w:r w:rsidR="003C0940" w:rsidRPr="003C0940">
              <w:rPr>
                <w:rFonts w:ascii="Verdana" w:hAnsi="Verdana"/>
                <w:sz w:val="20"/>
                <w:szCs w:val="20"/>
                <w:lang w:val="en-US"/>
              </w:rPr>
              <w:t xml:space="preserve"> </w:t>
            </w:r>
            <w:r w:rsidRPr="003C0940">
              <w:rPr>
                <w:rFonts w:ascii="Verdana" w:hAnsi="Verdana"/>
                <w:sz w:val="20"/>
                <w:szCs w:val="20"/>
                <w:lang w:val="en-US"/>
              </w:rPr>
              <w:t>will be approved on the condition that they submit the following documentation:</w:t>
            </w:r>
          </w:p>
          <w:p w14:paraId="6C011632" w14:textId="77777777" w:rsidR="00F563D9" w:rsidRPr="003C0940" w:rsidRDefault="00F563D9" w:rsidP="00F563D9">
            <w:pPr>
              <w:keepNext/>
              <w:snapToGrid w:val="0"/>
              <w:jc w:val="both"/>
              <w:rPr>
                <w:rFonts w:ascii="Verdana" w:hAnsi="Verdana"/>
                <w:sz w:val="20"/>
                <w:szCs w:val="20"/>
                <w:lang w:val="en-US"/>
              </w:rPr>
            </w:pPr>
            <w:r w:rsidRPr="003C0940">
              <w:rPr>
                <w:rFonts w:ascii="Verdana" w:hAnsi="Verdana"/>
                <w:sz w:val="20"/>
                <w:szCs w:val="20"/>
                <w:lang w:val="en-US"/>
              </w:rPr>
              <w:t xml:space="preserve">1. Decision on the address of the headquarters from </w:t>
            </w:r>
            <w:proofErr w:type="gramStart"/>
            <w:r w:rsidRPr="003C0940">
              <w:rPr>
                <w:rFonts w:ascii="Verdana" w:hAnsi="Verdana"/>
                <w:sz w:val="20"/>
                <w:szCs w:val="20"/>
                <w:lang w:val="en-US"/>
              </w:rPr>
              <w:t>APR;</w:t>
            </w:r>
            <w:proofErr w:type="gramEnd"/>
          </w:p>
          <w:p w14:paraId="00BD5B8E" w14:textId="77777777" w:rsidR="00F563D9" w:rsidRPr="003C0940" w:rsidRDefault="00F563D9" w:rsidP="00F563D9">
            <w:pPr>
              <w:keepNext/>
              <w:snapToGrid w:val="0"/>
              <w:jc w:val="both"/>
              <w:rPr>
                <w:rFonts w:ascii="Verdana" w:hAnsi="Verdana"/>
                <w:sz w:val="20"/>
                <w:szCs w:val="20"/>
                <w:lang w:val="en-US"/>
              </w:rPr>
            </w:pPr>
            <w:r w:rsidRPr="003C0940">
              <w:rPr>
                <w:rFonts w:ascii="Verdana" w:hAnsi="Verdana"/>
                <w:sz w:val="20"/>
                <w:szCs w:val="20"/>
                <w:lang w:val="en-US"/>
              </w:rPr>
              <w:lastRenderedPageBreak/>
              <w:t xml:space="preserve">2. Extract from the read ID </w:t>
            </w:r>
            <w:proofErr w:type="gramStart"/>
            <w:r w:rsidRPr="003C0940">
              <w:rPr>
                <w:rFonts w:ascii="Verdana" w:hAnsi="Verdana"/>
                <w:sz w:val="20"/>
                <w:szCs w:val="20"/>
                <w:lang w:val="en-US"/>
              </w:rPr>
              <w:t>card;</w:t>
            </w:r>
            <w:proofErr w:type="gramEnd"/>
          </w:p>
          <w:p w14:paraId="7B6E0377" w14:textId="77777777" w:rsidR="00F563D9" w:rsidRPr="003C0940" w:rsidRDefault="00F563D9" w:rsidP="00F563D9">
            <w:pPr>
              <w:keepNext/>
              <w:snapToGrid w:val="0"/>
              <w:jc w:val="both"/>
              <w:rPr>
                <w:rFonts w:ascii="Verdana" w:hAnsi="Verdana"/>
                <w:sz w:val="20"/>
                <w:szCs w:val="20"/>
                <w:lang w:val="en-US"/>
              </w:rPr>
            </w:pPr>
            <w:r w:rsidRPr="003C0940">
              <w:rPr>
                <w:rFonts w:ascii="Verdana" w:hAnsi="Verdana"/>
                <w:sz w:val="20"/>
                <w:szCs w:val="20"/>
                <w:lang w:val="en-US"/>
              </w:rPr>
              <w:t xml:space="preserve">3. Decision or certificate of the Real Estate </w:t>
            </w:r>
            <w:proofErr w:type="spellStart"/>
            <w:r w:rsidRPr="003C0940">
              <w:rPr>
                <w:rFonts w:ascii="Verdana" w:hAnsi="Verdana"/>
                <w:sz w:val="20"/>
                <w:szCs w:val="20"/>
                <w:lang w:val="en-US"/>
              </w:rPr>
              <w:t>Cadastre</w:t>
            </w:r>
            <w:proofErr w:type="spellEnd"/>
            <w:r w:rsidRPr="003C0940">
              <w:rPr>
                <w:rFonts w:ascii="Verdana" w:hAnsi="Verdana"/>
                <w:sz w:val="20"/>
                <w:szCs w:val="20"/>
                <w:lang w:val="en-US"/>
              </w:rPr>
              <w:t xml:space="preserve"> on the area of </w:t>
            </w:r>
            <w:r w:rsidRPr="003C0940">
              <w:rPr>
                <w:rFonts w:ascii="Arial" w:hAnsi="Arial" w:cs="Arial"/>
                <w:sz w:val="20"/>
                <w:szCs w:val="20"/>
                <w:lang w:val="en-US"/>
              </w:rPr>
              <w:t>​​</w:t>
            </w:r>
            <w:r w:rsidRPr="003C0940">
              <w:rPr>
                <w:rFonts w:ascii="Verdana" w:hAnsi="Verdana"/>
                <w:sz w:val="20"/>
                <w:szCs w:val="20"/>
                <w:lang w:val="en-US"/>
              </w:rPr>
              <w:t xml:space="preserve">the object or tax </w:t>
            </w:r>
            <w:proofErr w:type="gramStart"/>
            <w:r w:rsidRPr="003C0940">
              <w:rPr>
                <w:rFonts w:ascii="Verdana" w:hAnsi="Verdana"/>
                <w:sz w:val="20"/>
                <w:szCs w:val="20"/>
                <w:lang w:val="en-US"/>
              </w:rPr>
              <w:t>decision;</w:t>
            </w:r>
            <w:proofErr w:type="gramEnd"/>
          </w:p>
          <w:p w14:paraId="4AECE905" w14:textId="77777777" w:rsidR="00710379" w:rsidRPr="003C0940" w:rsidRDefault="00F563D9" w:rsidP="00F563D9">
            <w:pPr>
              <w:keepNext/>
              <w:snapToGrid w:val="0"/>
              <w:jc w:val="both"/>
              <w:rPr>
                <w:rFonts w:ascii="Verdana" w:hAnsi="Verdana"/>
                <w:sz w:val="20"/>
                <w:szCs w:val="20"/>
                <w:lang w:val="en-US"/>
              </w:rPr>
            </w:pPr>
            <w:r w:rsidRPr="003C0940">
              <w:rPr>
                <w:rFonts w:ascii="Verdana" w:hAnsi="Verdana"/>
                <w:sz w:val="20"/>
                <w:szCs w:val="20"/>
                <w:lang w:val="en-US"/>
              </w:rPr>
              <w:t>4. Last paid bill for municipal waste collection services as a natural person.</w:t>
            </w:r>
          </w:p>
          <w:p w14:paraId="086F9237" w14:textId="77777777" w:rsidR="00535019" w:rsidRPr="003C0940" w:rsidRDefault="00535019" w:rsidP="00F563D9">
            <w:pPr>
              <w:keepNext/>
              <w:snapToGrid w:val="0"/>
              <w:jc w:val="both"/>
              <w:rPr>
                <w:rFonts w:ascii="Verdana" w:hAnsi="Verdana"/>
                <w:sz w:val="20"/>
                <w:szCs w:val="20"/>
                <w:lang w:val="en-US"/>
              </w:rPr>
            </w:pPr>
          </w:p>
          <w:p w14:paraId="297D6DFD" w14:textId="4C09D905" w:rsidR="00535019" w:rsidRPr="003C0940" w:rsidRDefault="00535019" w:rsidP="00535019">
            <w:pPr>
              <w:keepNext/>
              <w:snapToGrid w:val="0"/>
              <w:jc w:val="both"/>
              <w:rPr>
                <w:rFonts w:ascii="Verdana" w:hAnsi="Verdana"/>
                <w:sz w:val="20"/>
                <w:szCs w:val="20"/>
                <w:lang w:val="en-US"/>
              </w:rPr>
            </w:pPr>
            <w:r w:rsidRPr="003C0940">
              <w:rPr>
                <w:rFonts w:ascii="Verdana" w:hAnsi="Verdana"/>
                <w:sz w:val="20"/>
                <w:szCs w:val="20"/>
                <w:lang w:val="en-US"/>
              </w:rPr>
              <w:t xml:space="preserve">The dinar amounts stated above have been agreed upon and determined by applying the real inflation rate published by the Republic of Serbia Statistics Institute. </w:t>
            </w:r>
            <w:r w:rsidR="00572BD7" w:rsidRPr="003C0940">
              <w:rPr>
                <w:rFonts w:ascii="Verdana" w:hAnsi="Verdana"/>
                <w:sz w:val="20"/>
                <w:szCs w:val="20"/>
                <w:lang w:val="en-US"/>
              </w:rPr>
              <w:t>An integral part of this Agreement is the Price List, the prices of which have been increased by applying the real inflation rate, namely the price change in September, October, November and December 2023 in percentages is 1.2%, in December 2024 compared to December 2023 in percentages it is 4.3%, and inflation for the first and second quarters in 2025 in percentages is 2.6%, which is a total of 8.1%.</w:t>
            </w:r>
          </w:p>
          <w:p w14:paraId="35F225AD" w14:textId="77777777" w:rsidR="00572BD7" w:rsidRPr="003C0940" w:rsidRDefault="00572BD7" w:rsidP="00535019">
            <w:pPr>
              <w:keepNext/>
              <w:snapToGrid w:val="0"/>
              <w:jc w:val="both"/>
              <w:rPr>
                <w:rFonts w:ascii="Verdana" w:hAnsi="Verdana"/>
                <w:sz w:val="20"/>
                <w:szCs w:val="20"/>
                <w:lang w:val="en-US"/>
              </w:rPr>
            </w:pPr>
          </w:p>
          <w:p w14:paraId="119D30DB" w14:textId="77777777" w:rsidR="00535019" w:rsidRPr="003C0940" w:rsidRDefault="00535019" w:rsidP="00535019">
            <w:pPr>
              <w:keepNext/>
              <w:snapToGrid w:val="0"/>
              <w:jc w:val="both"/>
              <w:rPr>
                <w:rFonts w:ascii="Verdana" w:hAnsi="Verdana"/>
                <w:sz w:val="20"/>
                <w:szCs w:val="20"/>
                <w:lang w:val="en-US"/>
              </w:rPr>
            </w:pPr>
            <w:r w:rsidRPr="003C0940">
              <w:rPr>
                <w:rFonts w:ascii="Verdana" w:hAnsi="Verdana"/>
                <w:b/>
                <w:bCs/>
                <w:sz w:val="20"/>
                <w:szCs w:val="20"/>
                <w:lang w:val="en-US"/>
              </w:rPr>
              <w:t>1.2.</w:t>
            </w:r>
            <w:r w:rsidRPr="003C0940">
              <w:rPr>
                <w:rFonts w:ascii="Verdana" w:hAnsi="Verdana"/>
                <w:sz w:val="20"/>
                <w:szCs w:val="20"/>
                <w:lang w:val="en-US"/>
              </w:rPr>
              <w:t xml:space="preserve"> In addition to regular services, the Operator in the Price List (</w:t>
            </w:r>
            <w:r w:rsidRPr="003C0940">
              <w:rPr>
                <w:rFonts w:ascii="Verdana" w:hAnsi="Verdana"/>
                <w:b/>
                <w:bCs/>
                <w:sz w:val="20"/>
                <w:szCs w:val="20"/>
                <w:lang w:val="en-US"/>
              </w:rPr>
              <w:t>Attachment 2 of Annex 3 of the Agreement</w:t>
            </w:r>
            <w:r w:rsidRPr="003C0940">
              <w:rPr>
                <w:rFonts w:ascii="Verdana" w:hAnsi="Verdana"/>
                <w:sz w:val="20"/>
                <w:szCs w:val="20"/>
                <w:lang w:val="en-US"/>
              </w:rPr>
              <w:t>) submits the Structure of new prices for the provision of communal services in the territory of the municipality of Lapovo for additional services - individually contracted services with legal entities.</w:t>
            </w:r>
          </w:p>
          <w:p w14:paraId="6E63BE1A" w14:textId="77777777" w:rsidR="00132C46" w:rsidRPr="003C0940" w:rsidRDefault="00132C46" w:rsidP="00535019">
            <w:pPr>
              <w:keepNext/>
              <w:snapToGrid w:val="0"/>
              <w:jc w:val="both"/>
              <w:rPr>
                <w:rFonts w:ascii="Verdana" w:hAnsi="Verdana"/>
                <w:sz w:val="20"/>
                <w:szCs w:val="20"/>
                <w:lang w:val="en-US"/>
              </w:rPr>
            </w:pPr>
          </w:p>
          <w:p w14:paraId="405C1249" w14:textId="63F27EB1" w:rsidR="00132C46" w:rsidRPr="003C0940" w:rsidRDefault="00EB6454" w:rsidP="00132C46">
            <w:pPr>
              <w:keepNext/>
              <w:snapToGrid w:val="0"/>
              <w:jc w:val="both"/>
              <w:rPr>
                <w:rFonts w:ascii="Verdana" w:hAnsi="Verdana"/>
                <w:sz w:val="20"/>
                <w:szCs w:val="20"/>
                <w:lang w:val="en-US"/>
              </w:rPr>
            </w:pPr>
            <w:r w:rsidRPr="003C0940">
              <w:rPr>
                <w:rFonts w:ascii="Verdana" w:hAnsi="Verdana"/>
                <w:b/>
                <w:bCs/>
                <w:sz w:val="20"/>
                <w:szCs w:val="20"/>
                <w:lang w:val="en-US"/>
              </w:rPr>
              <w:t>1.3.</w:t>
            </w:r>
            <w:r w:rsidR="00132C46" w:rsidRPr="003C0940">
              <w:rPr>
                <w:rFonts w:ascii="Verdana" w:hAnsi="Verdana"/>
                <w:sz w:val="20"/>
                <w:szCs w:val="20"/>
                <w:lang w:val="en-US"/>
              </w:rPr>
              <w:t>In addition, the Operator has the right and obligation to correct the price in the event of changes to the applicable Legislation and other by-laws, the availability and application of new technologies in the waste management sector, new taxes or fees, any other obligations imposed on the Operator of the communal-sanitary landfill or any investments required for work, which may result in a serious change in the Operator's costs, provided that the Operator can demonstrate that he cannot cover his costs by charging the established price, provided that thus they do not violate mandatory legal provisions.</w:t>
            </w:r>
          </w:p>
          <w:p w14:paraId="27364EF7" w14:textId="77777777" w:rsidR="00132C46" w:rsidRPr="003C0940" w:rsidRDefault="00132C46" w:rsidP="00132C46">
            <w:pPr>
              <w:keepNext/>
              <w:snapToGrid w:val="0"/>
              <w:jc w:val="both"/>
              <w:rPr>
                <w:rFonts w:ascii="Verdana" w:hAnsi="Verdana"/>
                <w:sz w:val="20"/>
                <w:szCs w:val="20"/>
                <w:lang w:val="en-US"/>
              </w:rPr>
            </w:pPr>
          </w:p>
          <w:p w14:paraId="69802867" w14:textId="77777777" w:rsidR="00132C46" w:rsidRPr="003C0940" w:rsidRDefault="00132C46" w:rsidP="00132C46">
            <w:pPr>
              <w:keepNext/>
              <w:snapToGrid w:val="0"/>
              <w:jc w:val="both"/>
              <w:rPr>
                <w:rFonts w:ascii="Verdana" w:hAnsi="Verdana"/>
                <w:sz w:val="20"/>
                <w:szCs w:val="20"/>
                <w:lang w:val="en-US"/>
              </w:rPr>
            </w:pPr>
            <w:r w:rsidRPr="003C0940">
              <w:rPr>
                <w:rFonts w:ascii="Verdana" w:hAnsi="Verdana"/>
                <w:b/>
                <w:bCs/>
                <w:sz w:val="20"/>
                <w:szCs w:val="20"/>
                <w:lang w:val="en-US"/>
              </w:rPr>
              <w:t>1.4.</w:t>
            </w:r>
            <w:r w:rsidRPr="003C0940">
              <w:rPr>
                <w:rFonts w:ascii="Verdana" w:hAnsi="Verdana"/>
                <w:sz w:val="20"/>
                <w:szCs w:val="20"/>
                <w:lang w:val="en-US"/>
              </w:rPr>
              <w:t xml:space="preserve"> The contracting parties agree that the fee specified in paragraph 1.1. </w:t>
            </w:r>
            <w:proofErr w:type="gramStart"/>
            <w:r w:rsidRPr="003C0940">
              <w:rPr>
                <w:rFonts w:ascii="Verdana" w:hAnsi="Verdana"/>
                <w:sz w:val="20"/>
                <w:szCs w:val="20"/>
                <w:lang w:val="en-US"/>
              </w:rPr>
              <w:t>of</w:t>
            </w:r>
            <w:proofErr w:type="gramEnd"/>
            <w:r w:rsidRPr="003C0940">
              <w:rPr>
                <w:rFonts w:ascii="Verdana" w:hAnsi="Verdana"/>
                <w:sz w:val="20"/>
                <w:szCs w:val="20"/>
                <w:lang w:val="en-US"/>
              </w:rPr>
              <w:t xml:space="preserve"> this Annex 3, the Operator can unilaterally change if the change in legal regulations (directly or indirectly) increases the costs of the services provided by the Operator.</w:t>
            </w:r>
          </w:p>
          <w:p w14:paraId="749AECFA" w14:textId="77777777" w:rsidR="00132C46" w:rsidRPr="003C0940" w:rsidRDefault="00132C46" w:rsidP="00132C46">
            <w:pPr>
              <w:keepNext/>
              <w:snapToGrid w:val="0"/>
              <w:jc w:val="both"/>
              <w:rPr>
                <w:rFonts w:ascii="Verdana" w:hAnsi="Verdana"/>
                <w:sz w:val="20"/>
                <w:szCs w:val="20"/>
                <w:lang w:val="en-US"/>
              </w:rPr>
            </w:pPr>
          </w:p>
          <w:p w14:paraId="768232CB" w14:textId="77777777" w:rsidR="00132C46" w:rsidRPr="003C0940" w:rsidRDefault="00132C46" w:rsidP="00132C46">
            <w:pPr>
              <w:keepNext/>
              <w:snapToGrid w:val="0"/>
              <w:jc w:val="both"/>
              <w:rPr>
                <w:rFonts w:ascii="Verdana" w:hAnsi="Verdana"/>
                <w:sz w:val="20"/>
                <w:szCs w:val="20"/>
                <w:lang w:val="en-US"/>
              </w:rPr>
            </w:pPr>
            <w:r w:rsidRPr="003C0940">
              <w:rPr>
                <w:rFonts w:ascii="Verdana" w:hAnsi="Verdana"/>
                <w:b/>
                <w:bCs/>
                <w:sz w:val="20"/>
                <w:szCs w:val="20"/>
                <w:lang w:val="en-US"/>
              </w:rPr>
              <w:t>1.5.</w:t>
            </w:r>
            <w:r w:rsidRPr="003C0940">
              <w:rPr>
                <w:rFonts w:ascii="Verdana" w:hAnsi="Verdana"/>
                <w:sz w:val="20"/>
                <w:szCs w:val="20"/>
                <w:lang w:val="en-US"/>
              </w:rPr>
              <w:t xml:space="preserve"> With this Agreement, the Client gives consent and approval both to the waste collection prices defined in this Agreement, as well as to the way of harmonizing the waste collection prices as defined in this Agreement.</w:t>
            </w:r>
          </w:p>
          <w:p w14:paraId="7BE39F3C" w14:textId="77777777" w:rsidR="00132C46" w:rsidRPr="003C0940" w:rsidRDefault="00132C46" w:rsidP="00132C46">
            <w:pPr>
              <w:keepNext/>
              <w:snapToGrid w:val="0"/>
              <w:jc w:val="both"/>
              <w:rPr>
                <w:rFonts w:ascii="Verdana" w:hAnsi="Verdana"/>
                <w:sz w:val="20"/>
                <w:szCs w:val="20"/>
                <w:lang w:val="en-US"/>
              </w:rPr>
            </w:pPr>
          </w:p>
          <w:p w14:paraId="41DEF0C4" w14:textId="77777777" w:rsidR="00132C46" w:rsidRPr="003C0940" w:rsidRDefault="00132C46" w:rsidP="00132C46">
            <w:pPr>
              <w:keepNext/>
              <w:snapToGrid w:val="0"/>
              <w:jc w:val="both"/>
              <w:rPr>
                <w:rFonts w:ascii="Verdana" w:hAnsi="Verdana"/>
                <w:sz w:val="20"/>
                <w:szCs w:val="20"/>
                <w:lang w:val="en-US"/>
              </w:rPr>
            </w:pPr>
            <w:r w:rsidRPr="003C0940">
              <w:rPr>
                <w:rFonts w:ascii="Verdana" w:hAnsi="Verdana"/>
                <w:b/>
                <w:bCs/>
                <w:sz w:val="20"/>
                <w:szCs w:val="20"/>
                <w:lang w:val="en-US"/>
              </w:rPr>
              <w:lastRenderedPageBreak/>
              <w:t>1.6.</w:t>
            </w:r>
            <w:r w:rsidRPr="003C0940">
              <w:rPr>
                <w:rFonts w:ascii="Verdana" w:hAnsi="Verdana"/>
                <w:sz w:val="20"/>
                <w:szCs w:val="20"/>
                <w:lang w:val="en-US"/>
              </w:rPr>
              <w:t xml:space="preserve"> The client undertakes to ensure the adoption of the decision of the Municipal Assembly of Lapovo, which gives the </w:t>
            </w:r>
            <w:r w:rsidR="00F23546" w:rsidRPr="003C0940">
              <w:rPr>
                <w:rFonts w:ascii="Verdana" w:hAnsi="Verdana"/>
                <w:sz w:val="20"/>
                <w:szCs w:val="20"/>
                <w:lang w:val="en-US"/>
              </w:rPr>
              <w:t>consent</w:t>
            </w:r>
            <w:r w:rsidRPr="003C0940">
              <w:rPr>
                <w:rFonts w:ascii="Verdana" w:hAnsi="Verdana"/>
                <w:sz w:val="20"/>
                <w:szCs w:val="20"/>
                <w:lang w:val="en-US"/>
              </w:rPr>
              <w:t xml:space="preserve"> and approval.</w:t>
            </w:r>
          </w:p>
          <w:p w14:paraId="1D1E3C48" w14:textId="77777777" w:rsidR="009E706D" w:rsidRPr="003C0940" w:rsidRDefault="009E706D" w:rsidP="00132C46">
            <w:pPr>
              <w:keepNext/>
              <w:snapToGrid w:val="0"/>
              <w:jc w:val="both"/>
              <w:rPr>
                <w:rFonts w:ascii="Verdana" w:hAnsi="Verdana"/>
                <w:sz w:val="20"/>
                <w:szCs w:val="20"/>
                <w:lang w:val="en-US"/>
              </w:rPr>
            </w:pPr>
          </w:p>
          <w:p w14:paraId="19753D45" w14:textId="77777777" w:rsidR="009E706D" w:rsidRPr="003C0940" w:rsidRDefault="009E706D" w:rsidP="009E706D">
            <w:pPr>
              <w:keepNext/>
              <w:snapToGrid w:val="0"/>
              <w:jc w:val="center"/>
              <w:rPr>
                <w:rFonts w:ascii="Verdana" w:hAnsi="Verdana"/>
                <w:b/>
                <w:bCs/>
                <w:sz w:val="20"/>
                <w:szCs w:val="20"/>
                <w:lang w:val="en-US"/>
              </w:rPr>
            </w:pPr>
            <w:r w:rsidRPr="003C0940">
              <w:rPr>
                <w:rFonts w:ascii="Verdana" w:hAnsi="Verdana"/>
                <w:b/>
                <w:bCs/>
                <w:sz w:val="20"/>
                <w:szCs w:val="20"/>
                <w:lang w:val="en-US"/>
              </w:rPr>
              <w:t>Article 2</w:t>
            </w:r>
          </w:p>
          <w:p w14:paraId="6DCFB91F" w14:textId="77777777" w:rsidR="009E706D" w:rsidRPr="003C0940" w:rsidRDefault="009E706D" w:rsidP="009E706D">
            <w:pPr>
              <w:keepNext/>
              <w:snapToGrid w:val="0"/>
              <w:jc w:val="center"/>
              <w:rPr>
                <w:rFonts w:ascii="Verdana" w:hAnsi="Verdana"/>
                <w:b/>
                <w:bCs/>
                <w:sz w:val="20"/>
                <w:szCs w:val="20"/>
                <w:lang w:val="en-US"/>
              </w:rPr>
            </w:pPr>
          </w:p>
          <w:p w14:paraId="52A0DD3B" w14:textId="77777777" w:rsidR="009E706D" w:rsidRPr="003C0940" w:rsidRDefault="009E706D" w:rsidP="00150881">
            <w:pPr>
              <w:keepNext/>
              <w:snapToGrid w:val="0"/>
              <w:jc w:val="both"/>
              <w:rPr>
                <w:rFonts w:ascii="Verdana" w:hAnsi="Verdana"/>
                <w:sz w:val="20"/>
                <w:szCs w:val="20"/>
                <w:lang w:val="en-US"/>
              </w:rPr>
            </w:pPr>
            <w:r w:rsidRPr="003C0940">
              <w:rPr>
                <w:rFonts w:ascii="Verdana" w:hAnsi="Verdana"/>
                <w:b/>
                <w:bCs/>
                <w:sz w:val="20"/>
                <w:szCs w:val="20"/>
                <w:lang w:val="en-US"/>
              </w:rPr>
              <w:t>2.1.</w:t>
            </w:r>
            <w:r w:rsidR="005870F2" w:rsidRPr="003C0940">
              <w:rPr>
                <w:rFonts w:ascii="Verdana" w:hAnsi="Verdana"/>
                <w:b/>
                <w:bCs/>
                <w:sz w:val="20"/>
                <w:szCs w:val="20"/>
                <w:lang w:val="en-US"/>
              </w:rPr>
              <w:t xml:space="preserve"> </w:t>
            </w:r>
            <w:r w:rsidR="005870F2" w:rsidRPr="003C0940">
              <w:rPr>
                <w:rFonts w:ascii="Verdana" w:hAnsi="Verdana"/>
                <w:sz w:val="20"/>
                <w:szCs w:val="20"/>
                <w:lang w:val="en-US"/>
              </w:rPr>
              <w:t>The Parties agree</w:t>
            </w:r>
            <w:r w:rsidR="00502DCC" w:rsidRPr="003C0940">
              <w:rPr>
                <w:rFonts w:ascii="Verdana" w:hAnsi="Verdana"/>
                <w:sz w:val="20"/>
                <w:szCs w:val="20"/>
                <w:lang w:val="en-US"/>
              </w:rPr>
              <w:t xml:space="preserve"> that </w:t>
            </w:r>
            <w:proofErr w:type="gramStart"/>
            <w:r w:rsidR="00502DCC" w:rsidRPr="003C0940">
              <w:rPr>
                <w:rFonts w:ascii="Verdana" w:hAnsi="Verdana"/>
                <w:sz w:val="20"/>
                <w:szCs w:val="20"/>
                <w:lang w:val="en-US"/>
              </w:rPr>
              <w:t>this Annex</w:t>
            </w:r>
            <w:proofErr w:type="gramEnd"/>
            <w:r w:rsidR="00502DCC" w:rsidRPr="003C0940">
              <w:rPr>
                <w:rFonts w:ascii="Verdana" w:hAnsi="Verdana"/>
                <w:sz w:val="20"/>
                <w:szCs w:val="20"/>
                <w:lang w:val="en-US"/>
              </w:rPr>
              <w:t xml:space="preserve"> 3 of the Agreement establishes </w:t>
            </w:r>
            <w:proofErr w:type="gramStart"/>
            <w:r w:rsidR="0043048A" w:rsidRPr="003C0940">
              <w:rPr>
                <w:rFonts w:ascii="Verdana" w:hAnsi="Verdana"/>
                <w:sz w:val="20"/>
                <w:szCs w:val="20"/>
                <w:lang w:val="en-US"/>
              </w:rPr>
              <w:t>he</w:t>
            </w:r>
            <w:proofErr w:type="gramEnd"/>
            <w:r w:rsidR="0043048A" w:rsidRPr="003C0940">
              <w:rPr>
                <w:rFonts w:ascii="Verdana" w:hAnsi="Verdana"/>
                <w:sz w:val="20"/>
                <w:szCs w:val="20"/>
                <w:lang w:val="en-US"/>
              </w:rPr>
              <w:t xml:space="preserve"> Waste Collection Plan in the territory of the municipality of Lapovo - Schedule of the collection and transportation of communal waste by days on a weekly basis for the year 2025.</w:t>
            </w:r>
          </w:p>
          <w:p w14:paraId="33500319" w14:textId="77777777" w:rsidR="006F40E2" w:rsidRPr="003C0940" w:rsidRDefault="006F40E2" w:rsidP="00150881">
            <w:pPr>
              <w:keepNext/>
              <w:snapToGrid w:val="0"/>
              <w:jc w:val="both"/>
              <w:rPr>
                <w:rFonts w:ascii="Verdana" w:hAnsi="Verdana"/>
                <w:b/>
                <w:bCs/>
                <w:sz w:val="20"/>
                <w:szCs w:val="20"/>
                <w:lang w:val="en-US"/>
              </w:rPr>
            </w:pPr>
          </w:p>
          <w:p w14:paraId="7D779FDB" w14:textId="06DB5A1B" w:rsidR="006F40E2" w:rsidRPr="003C0940" w:rsidRDefault="006F40E2" w:rsidP="00150881">
            <w:pPr>
              <w:keepNext/>
              <w:snapToGrid w:val="0"/>
              <w:jc w:val="both"/>
              <w:rPr>
                <w:rFonts w:ascii="Verdana" w:hAnsi="Verdana"/>
                <w:sz w:val="20"/>
                <w:szCs w:val="20"/>
                <w:lang w:val="en-US"/>
              </w:rPr>
            </w:pPr>
            <w:r w:rsidRPr="003C0940">
              <w:rPr>
                <w:rFonts w:ascii="Verdana" w:hAnsi="Verdana"/>
                <w:b/>
                <w:bCs/>
                <w:sz w:val="20"/>
                <w:szCs w:val="20"/>
                <w:lang w:val="en-US"/>
              </w:rPr>
              <w:t xml:space="preserve">2.2. </w:t>
            </w:r>
            <w:r w:rsidRPr="003C0940">
              <w:rPr>
                <w:rFonts w:ascii="Verdana" w:hAnsi="Verdana"/>
                <w:sz w:val="20"/>
                <w:szCs w:val="20"/>
                <w:lang w:val="en-US"/>
              </w:rPr>
              <w:t>The waste collection plan in the territory of the municipality of Lapovo is an integral part of Annex 3 as Attachment 3.</w:t>
            </w:r>
          </w:p>
          <w:p w14:paraId="3B7A3624" w14:textId="77777777" w:rsidR="00150881" w:rsidRPr="003C0940" w:rsidRDefault="00150881" w:rsidP="00150881">
            <w:pPr>
              <w:keepNext/>
              <w:snapToGrid w:val="0"/>
              <w:jc w:val="both"/>
              <w:rPr>
                <w:rFonts w:ascii="Verdana" w:hAnsi="Verdana"/>
                <w:b/>
                <w:bCs/>
                <w:sz w:val="20"/>
                <w:szCs w:val="20"/>
                <w:lang w:val="en-US"/>
              </w:rPr>
            </w:pPr>
          </w:p>
          <w:p w14:paraId="5A0F4CD7" w14:textId="672A0411" w:rsidR="00150881" w:rsidRPr="003C0940" w:rsidRDefault="00150881" w:rsidP="00150881">
            <w:pPr>
              <w:keepNext/>
              <w:snapToGrid w:val="0"/>
              <w:jc w:val="both"/>
              <w:rPr>
                <w:rFonts w:ascii="Verdana" w:hAnsi="Verdana"/>
                <w:sz w:val="20"/>
                <w:szCs w:val="20"/>
                <w:lang w:val="en-US"/>
              </w:rPr>
            </w:pPr>
            <w:r w:rsidRPr="003C0940">
              <w:rPr>
                <w:rFonts w:ascii="Verdana" w:hAnsi="Verdana"/>
                <w:b/>
                <w:bCs/>
                <w:sz w:val="20"/>
                <w:szCs w:val="20"/>
                <w:lang w:val="en-US"/>
              </w:rPr>
              <w:t>2.3.</w:t>
            </w:r>
            <w:r w:rsidRPr="003C0940">
              <w:t xml:space="preserve"> </w:t>
            </w:r>
            <w:r w:rsidRPr="003C0940">
              <w:rPr>
                <w:rFonts w:ascii="Verdana" w:hAnsi="Verdana"/>
                <w:sz w:val="20"/>
                <w:szCs w:val="20"/>
                <w:lang w:val="en-US"/>
              </w:rPr>
              <w:t xml:space="preserve">The Operator undertakes to organize a campaign to collect large communal waste in 2025. The large communal waste collection action is planned twice a year, in spring and autumn. </w:t>
            </w:r>
          </w:p>
          <w:p w14:paraId="4A6C479C" w14:textId="77777777" w:rsidR="00BF1BA5" w:rsidRPr="003C0940" w:rsidRDefault="00BF1BA5" w:rsidP="00150881">
            <w:pPr>
              <w:keepNext/>
              <w:snapToGrid w:val="0"/>
              <w:jc w:val="both"/>
              <w:rPr>
                <w:rFonts w:ascii="Verdana" w:hAnsi="Verdana"/>
                <w:sz w:val="20"/>
                <w:szCs w:val="20"/>
                <w:lang w:val="en-US"/>
              </w:rPr>
            </w:pPr>
          </w:p>
          <w:p w14:paraId="1803AA33" w14:textId="40319D4C" w:rsidR="00150881" w:rsidRPr="003C0940" w:rsidRDefault="00150881" w:rsidP="00150881">
            <w:pPr>
              <w:keepNext/>
              <w:snapToGrid w:val="0"/>
              <w:jc w:val="both"/>
              <w:rPr>
                <w:rFonts w:ascii="Verdana" w:hAnsi="Verdana"/>
                <w:sz w:val="20"/>
                <w:szCs w:val="20"/>
                <w:lang w:val="en-US"/>
              </w:rPr>
            </w:pPr>
            <w:r w:rsidRPr="003C0940">
              <w:rPr>
                <w:rFonts w:ascii="Verdana" w:hAnsi="Verdana"/>
                <w:sz w:val="20"/>
                <w:szCs w:val="20"/>
                <w:lang w:val="en-US"/>
              </w:rPr>
              <w:t>The spring collection period of large communal waste will last from May 1, 2025. until 31.05.2025. year.</w:t>
            </w:r>
          </w:p>
          <w:p w14:paraId="3E8F7576" w14:textId="5004949B" w:rsidR="00150881" w:rsidRPr="003C0940" w:rsidRDefault="00150881" w:rsidP="00150881">
            <w:pPr>
              <w:keepNext/>
              <w:snapToGrid w:val="0"/>
              <w:jc w:val="both"/>
              <w:rPr>
                <w:rFonts w:ascii="Verdana" w:hAnsi="Verdana"/>
                <w:sz w:val="20"/>
                <w:szCs w:val="20"/>
                <w:lang w:val="en-US"/>
              </w:rPr>
            </w:pPr>
            <w:r w:rsidRPr="003C0940">
              <w:rPr>
                <w:rFonts w:ascii="Verdana" w:hAnsi="Verdana"/>
                <w:sz w:val="20"/>
                <w:szCs w:val="20"/>
                <w:lang w:val="en-US"/>
              </w:rPr>
              <w:t xml:space="preserve">The autumn period of large municipal waste collection will last from </w:t>
            </w:r>
            <w:r w:rsidR="0044074B" w:rsidRPr="003C0940">
              <w:rPr>
                <w:rFonts w:ascii="Verdana" w:hAnsi="Verdana"/>
                <w:sz w:val="20"/>
                <w:szCs w:val="20"/>
                <w:lang w:val="en-US"/>
              </w:rPr>
              <w:t>Octob</w:t>
            </w:r>
            <w:r w:rsidR="00F81C34" w:rsidRPr="003C0940">
              <w:rPr>
                <w:rFonts w:ascii="Verdana" w:hAnsi="Verdana"/>
                <w:sz w:val="20"/>
                <w:szCs w:val="20"/>
                <w:lang w:val="en-US"/>
              </w:rPr>
              <w:t>er</w:t>
            </w:r>
            <w:r w:rsidRPr="003C0940">
              <w:rPr>
                <w:rFonts w:ascii="Verdana" w:hAnsi="Verdana"/>
                <w:sz w:val="20"/>
                <w:szCs w:val="20"/>
                <w:lang w:val="en-US"/>
              </w:rPr>
              <w:t xml:space="preserve"> 1, 2025. until 3</w:t>
            </w:r>
            <w:r w:rsidR="00F81C34" w:rsidRPr="003C0940">
              <w:rPr>
                <w:rFonts w:ascii="Verdana" w:hAnsi="Verdana"/>
                <w:sz w:val="20"/>
                <w:szCs w:val="20"/>
                <w:lang w:val="en-US"/>
              </w:rPr>
              <w:t>1</w:t>
            </w:r>
            <w:r w:rsidRPr="003C0940">
              <w:rPr>
                <w:rFonts w:ascii="Verdana" w:hAnsi="Verdana"/>
                <w:sz w:val="20"/>
                <w:szCs w:val="20"/>
                <w:lang w:val="en-US"/>
              </w:rPr>
              <w:t>.</w:t>
            </w:r>
            <w:r w:rsidR="00F81C34" w:rsidRPr="003C0940">
              <w:rPr>
                <w:rFonts w:ascii="Verdana" w:hAnsi="Verdana"/>
                <w:sz w:val="20"/>
                <w:szCs w:val="20"/>
                <w:lang w:val="en-US"/>
              </w:rPr>
              <w:t>10</w:t>
            </w:r>
            <w:r w:rsidRPr="003C0940">
              <w:rPr>
                <w:rFonts w:ascii="Verdana" w:hAnsi="Verdana"/>
                <w:sz w:val="20"/>
                <w:szCs w:val="20"/>
                <w:lang w:val="en-US"/>
              </w:rPr>
              <w:t xml:space="preserve">.2025. </w:t>
            </w:r>
          </w:p>
          <w:p w14:paraId="51DA8642" w14:textId="77777777" w:rsidR="00F634E0" w:rsidRPr="003C0940" w:rsidRDefault="00F634E0" w:rsidP="00150881">
            <w:pPr>
              <w:keepNext/>
              <w:snapToGrid w:val="0"/>
              <w:jc w:val="both"/>
              <w:rPr>
                <w:rFonts w:ascii="Verdana" w:hAnsi="Verdana"/>
                <w:sz w:val="20"/>
                <w:szCs w:val="20"/>
                <w:lang w:val="en-US"/>
              </w:rPr>
            </w:pPr>
          </w:p>
          <w:p w14:paraId="47A72071" w14:textId="77777777" w:rsidR="00F634E0" w:rsidRPr="003C0940" w:rsidRDefault="00F634E0" w:rsidP="00150881">
            <w:pPr>
              <w:keepNext/>
              <w:snapToGrid w:val="0"/>
              <w:jc w:val="both"/>
              <w:rPr>
                <w:rFonts w:ascii="Verdana" w:hAnsi="Verdana"/>
                <w:sz w:val="20"/>
                <w:szCs w:val="20"/>
                <w:lang w:val="en-US"/>
              </w:rPr>
            </w:pPr>
            <w:r w:rsidRPr="003C0940">
              <w:rPr>
                <w:rFonts w:ascii="Verdana" w:hAnsi="Verdana"/>
                <w:b/>
                <w:bCs/>
                <w:sz w:val="20"/>
                <w:szCs w:val="20"/>
                <w:lang w:val="en-US"/>
              </w:rPr>
              <w:t>2.4.</w:t>
            </w:r>
            <w:r w:rsidRPr="003C0940">
              <w:t xml:space="preserve"> </w:t>
            </w:r>
            <w:r w:rsidRPr="003C0940">
              <w:rPr>
                <w:rFonts w:ascii="Verdana" w:hAnsi="Verdana"/>
                <w:sz w:val="20"/>
                <w:szCs w:val="20"/>
                <w:lang w:val="en-US"/>
              </w:rPr>
              <w:t xml:space="preserve">The Client undertakes to agree with the Operator 14 days before the start of the </w:t>
            </w:r>
            <w:proofErr w:type="gramStart"/>
            <w:r w:rsidRPr="003C0940">
              <w:rPr>
                <w:rFonts w:ascii="Verdana" w:hAnsi="Verdana"/>
                <w:sz w:val="20"/>
                <w:szCs w:val="20"/>
                <w:lang w:val="en-US"/>
              </w:rPr>
              <w:t>action</w:t>
            </w:r>
            <w:proofErr w:type="gramEnd"/>
            <w:r w:rsidRPr="003C0940">
              <w:rPr>
                <w:rFonts w:ascii="Verdana" w:hAnsi="Verdana"/>
                <w:sz w:val="20"/>
                <w:szCs w:val="20"/>
                <w:lang w:val="en-US"/>
              </w:rPr>
              <w:t xml:space="preserve"> a plan for placing communal containers on the streets and the dynamics of their emptying.</w:t>
            </w:r>
          </w:p>
          <w:p w14:paraId="64B6EDF0" w14:textId="77777777" w:rsidR="0060702D" w:rsidRPr="003C0940" w:rsidRDefault="0060702D" w:rsidP="00150881">
            <w:pPr>
              <w:keepNext/>
              <w:snapToGrid w:val="0"/>
              <w:jc w:val="both"/>
              <w:rPr>
                <w:rFonts w:ascii="Verdana" w:hAnsi="Verdana"/>
                <w:sz w:val="20"/>
                <w:szCs w:val="20"/>
                <w:lang w:val="en-US"/>
              </w:rPr>
            </w:pPr>
          </w:p>
          <w:p w14:paraId="4E6917A1" w14:textId="77777777" w:rsidR="0060702D" w:rsidRPr="003C0940" w:rsidRDefault="0060702D" w:rsidP="00150881">
            <w:pPr>
              <w:keepNext/>
              <w:snapToGrid w:val="0"/>
              <w:jc w:val="both"/>
              <w:rPr>
                <w:rFonts w:ascii="Verdana" w:hAnsi="Verdana"/>
                <w:b/>
                <w:bCs/>
                <w:sz w:val="20"/>
                <w:szCs w:val="20"/>
                <w:lang w:val="en-US"/>
              </w:rPr>
            </w:pPr>
            <w:r w:rsidRPr="003C0940">
              <w:rPr>
                <w:rFonts w:ascii="Verdana" w:hAnsi="Verdana"/>
                <w:b/>
                <w:bCs/>
                <w:sz w:val="20"/>
                <w:szCs w:val="20"/>
                <w:lang w:val="en-US"/>
              </w:rPr>
              <w:t>II ENTRY INTO FORCE OF ANNEX 3 OF THE AGREEMENT</w:t>
            </w:r>
          </w:p>
          <w:p w14:paraId="440B4A39" w14:textId="77777777" w:rsidR="0060702D" w:rsidRPr="003C0940" w:rsidRDefault="0060702D" w:rsidP="00150881">
            <w:pPr>
              <w:keepNext/>
              <w:snapToGrid w:val="0"/>
              <w:jc w:val="both"/>
              <w:rPr>
                <w:rFonts w:ascii="Verdana" w:hAnsi="Verdana"/>
                <w:b/>
                <w:bCs/>
                <w:sz w:val="20"/>
                <w:szCs w:val="20"/>
                <w:lang w:val="en-US"/>
              </w:rPr>
            </w:pPr>
          </w:p>
          <w:p w14:paraId="7F97F5D2" w14:textId="77777777" w:rsidR="0060702D" w:rsidRPr="003C0940" w:rsidRDefault="0060702D" w:rsidP="0060702D">
            <w:pPr>
              <w:keepNext/>
              <w:snapToGrid w:val="0"/>
              <w:jc w:val="center"/>
              <w:rPr>
                <w:rFonts w:ascii="Verdana" w:hAnsi="Verdana"/>
                <w:b/>
                <w:bCs/>
                <w:sz w:val="20"/>
                <w:szCs w:val="20"/>
                <w:lang w:val="en-US"/>
              </w:rPr>
            </w:pPr>
            <w:r w:rsidRPr="003C0940">
              <w:rPr>
                <w:rFonts w:ascii="Verdana" w:hAnsi="Verdana"/>
                <w:b/>
                <w:bCs/>
                <w:sz w:val="20"/>
                <w:szCs w:val="20"/>
                <w:lang w:val="en-US"/>
              </w:rPr>
              <w:t>Article 3</w:t>
            </w:r>
          </w:p>
          <w:p w14:paraId="3B873CB2" w14:textId="77777777" w:rsidR="0060702D" w:rsidRPr="003C0940" w:rsidRDefault="0060702D" w:rsidP="00150881">
            <w:pPr>
              <w:keepNext/>
              <w:snapToGrid w:val="0"/>
              <w:jc w:val="both"/>
              <w:rPr>
                <w:rFonts w:ascii="Verdana" w:hAnsi="Verdana"/>
                <w:b/>
                <w:bCs/>
                <w:sz w:val="20"/>
                <w:szCs w:val="20"/>
                <w:lang w:val="en-US"/>
              </w:rPr>
            </w:pPr>
          </w:p>
          <w:p w14:paraId="75C2ED46" w14:textId="77777777" w:rsidR="0060702D" w:rsidRPr="003C0940" w:rsidRDefault="0060702D" w:rsidP="00150881">
            <w:pPr>
              <w:keepNext/>
              <w:snapToGrid w:val="0"/>
              <w:jc w:val="both"/>
              <w:rPr>
                <w:rFonts w:ascii="Verdana" w:hAnsi="Verdana"/>
                <w:sz w:val="20"/>
                <w:szCs w:val="20"/>
                <w:lang w:val="en-US"/>
              </w:rPr>
            </w:pPr>
            <w:r w:rsidRPr="003C0940">
              <w:rPr>
                <w:rFonts w:ascii="Verdana" w:hAnsi="Verdana"/>
                <w:b/>
                <w:bCs/>
                <w:sz w:val="20"/>
                <w:szCs w:val="20"/>
                <w:lang w:val="en-US"/>
              </w:rPr>
              <w:t>3.1.</w:t>
            </w:r>
            <w:r w:rsidR="002A696F" w:rsidRPr="003C0940">
              <w:t xml:space="preserve"> </w:t>
            </w:r>
            <w:r w:rsidR="002A696F" w:rsidRPr="003C0940">
              <w:rPr>
                <w:rFonts w:ascii="Verdana" w:hAnsi="Verdana"/>
                <w:sz w:val="20"/>
                <w:szCs w:val="20"/>
                <w:lang w:val="en-US"/>
              </w:rPr>
              <w:t>The Municipality of Lapovo undertakes to obtain the Decision of the Assembly of the Municipality of Lapovo giving consent to the prices specified in Article 1 of this Annex 3, in accordance with Article 28 of the Law on Utilities ("Official Gazette of RS", No. 88/2011, 104/2016, 95/2018 and 94/).</w:t>
            </w:r>
          </w:p>
          <w:p w14:paraId="234BB39F" w14:textId="77777777" w:rsidR="00D1498F" w:rsidRPr="003C0940" w:rsidRDefault="00D1498F" w:rsidP="00150881">
            <w:pPr>
              <w:keepNext/>
              <w:snapToGrid w:val="0"/>
              <w:jc w:val="both"/>
              <w:rPr>
                <w:rFonts w:ascii="Verdana" w:hAnsi="Verdana"/>
                <w:b/>
                <w:bCs/>
                <w:sz w:val="20"/>
                <w:szCs w:val="20"/>
                <w:lang w:val="en-US"/>
              </w:rPr>
            </w:pPr>
          </w:p>
          <w:p w14:paraId="2A107E3E" w14:textId="510A8179" w:rsidR="00D1498F" w:rsidRPr="003C0940" w:rsidRDefault="00D1498F" w:rsidP="00150881">
            <w:pPr>
              <w:keepNext/>
              <w:snapToGrid w:val="0"/>
              <w:jc w:val="both"/>
              <w:rPr>
                <w:rFonts w:ascii="Verdana" w:hAnsi="Verdana"/>
                <w:sz w:val="20"/>
                <w:szCs w:val="20"/>
                <w:lang w:val="en-US"/>
              </w:rPr>
            </w:pPr>
            <w:r w:rsidRPr="003C0940">
              <w:rPr>
                <w:rFonts w:ascii="Verdana" w:hAnsi="Verdana"/>
                <w:b/>
                <w:bCs/>
                <w:sz w:val="20"/>
                <w:szCs w:val="20"/>
                <w:lang w:val="en-US"/>
              </w:rPr>
              <w:t>3.2.</w:t>
            </w:r>
            <w:r w:rsidR="008B4330" w:rsidRPr="003C0940">
              <w:rPr>
                <w:rFonts w:ascii="Verdana" w:hAnsi="Verdana"/>
                <w:b/>
                <w:bCs/>
                <w:sz w:val="20"/>
                <w:szCs w:val="20"/>
                <w:lang w:val="en-US"/>
              </w:rPr>
              <w:t xml:space="preserve"> </w:t>
            </w:r>
            <w:r w:rsidRPr="003C0940">
              <w:rPr>
                <w:rFonts w:ascii="Verdana" w:hAnsi="Verdana"/>
                <w:sz w:val="20"/>
                <w:szCs w:val="20"/>
                <w:lang w:val="en-US"/>
              </w:rPr>
              <w:t>The decision of the Lapovo Municipal Assembly will represent the approval and consent of the Lapovo Municipal Assembly on the prices defined in this Annex 3 and the approval and consent of the Lapovo Municipal Assembly, in accordance with the Law regulating communal activities.</w:t>
            </w:r>
          </w:p>
          <w:p w14:paraId="0889F2B8" w14:textId="77777777" w:rsidR="00CB141E" w:rsidRPr="003C0940" w:rsidRDefault="00CB141E" w:rsidP="00CB141E">
            <w:pPr>
              <w:keepNext/>
              <w:snapToGrid w:val="0"/>
              <w:jc w:val="both"/>
              <w:rPr>
                <w:rFonts w:ascii="Verdana" w:hAnsi="Verdana"/>
                <w:b/>
                <w:bCs/>
                <w:sz w:val="20"/>
                <w:szCs w:val="20"/>
                <w:lang w:val="en-US"/>
              </w:rPr>
            </w:pPr>
          </w:p>
          <w:p w14:paraId="2ABDE9C1" w14:textId="565D36C2" w:rsidR="00CB141E" w:rsidRPr="003C0940" w:rsidRDefault="00CB141E" w:rsidP="00CB141E">
            <w:pPr>
              <w:keepNext/>
              <w:snapToGrid w:val="0"/>
              <w:jc w:val="both"/>
              <w:rPr>
                <w:rFonts w:ascii="Verdana" w:hAnsi="Verdana"/>
                <w:sz w:val="20"/>
                <w:szCs w:val="20"/>
                <w:lang w:val="en-US"/>
              </w:rPr>
            </w:pPr>
            <w:r w:rsidRPr="003C0940">
              <w:rPr>
                <w:rFonts w:ascii="Verdana" w:hAnsi="Verdana"/>
                <w:b/>
                <w:bCs/>
                <w:sz w:val="20"/>
                <w:szCs w:val="20"/>
                <w:lang w:val="en-US"/>
              </w:rPr>
              <w:t>3.3.</w:t>
            </w:r>
            <w:r w:rsidR="008B4330" w:rsidRPr="003C0940">
              <w:rPr>
                <w:rFonts w:ascii="Verdana" w:hAnsi="Verdana"/>
                <w:b/>
                <w:bCs/>
                <w:sz w:val="20"/>
                <w:szCs w:val="20"/>
                <w:lang w:val="en-US"/>
              </w:rPr>
              <w:t xml:space="preserve"> </w:t>
            </w:r>
            <w:r w:rsidRPr="003C0940">
              <w:rPr>
                <w:rFonts w:ascii="Verdana" w:hAnsi="Verdana"/>
                <w:sz w:val="20"/>
                <w:szCs w:val="20"/>
                <w:lang w:val="en-US"/>
              </w:rPr>
              <w:t xml:space="preserve">The decision of the Lapovo Municipal Assembly from the previous paragraph of Article 3 of this Annex 3 must be obtained as soon as possible, at the next meeting of the Lapovo Municipal Assembly, which will be held, and no later than 10 (ten) days </w:t>
            </w:r>
            <w:proofErr w:type="gramStart"/>
            <w:r w:rsidRPr="003C0940">
              <w:rPr>
                <w:rFonts w:ascii="Verdana" w:hAnsi="Verdana"/>
                <w:sz w:val="20"/>
                <w:szCs w:val="20"/>
                <w:lang w:val="en-US"/>
              </w:rPr>
              <w:t>from</w:t>
            </w:r>
            <w:proofErr w:type="gramEnd"/>
            <w:r w:rsidRPr="003C0940">
              <w:rPr>
                <w:rFonts w:ascii="Verdana" w:hAnsi="Verdana"/>
                <w:sz w:val="20"/>
                <w:szCs w:val="20"/>
                <w:lang w:val="en-US"/>
              </w:rPr>
              <w:t xml:space="preserve"> the date of signing this Annex 3. </w:t>
            </w:r>
          </w:p>
          <w:p w14:paraId="52BD4856" w14:textId="77777777" w:rsidR="00CB141E" w:rsidRPr="003C0940" w:rsidRDefault="00CB141E" w:rsidP="00CB141E">
            <w:pPr>
              <w:keepNext/>
              <w:snapToGrid w:val="0"/>
              <w:jc w:val="both"/>
              <w:rPr>
                <w:rFonts w:ascii="Verdana" w:hAnsi="Verdana"/>
                <w:b/>
                <w:bCs/>
                <w:sz w:val="20"/>
                <w:szCs w:val="20"/>
                <w:lang w:val="en-US"/>
              </w:rPr>
            </w:pPr>
          </w:p>
          <w:p w14:paraId="5E1B016E" w14:textId="3EE1129F" w:rsidR="000303D6" w:rsidRPr="003C0940" w:rsidRDefault="000303D6" w:rsidP="00CB141E">
            <w:pPr>
              <w:keepNext/>
              <w:snapToGrid w:val="0"/>
              <w:jc w:val="both"/>
              <w:rPr>
                <w:rFonts w:ascii="Verdana" w:hAnsi="Verdana"/>
                <w:sz w:val="20"/>
                <w:szCs w:val="20"/>
                <w:lang w:val="en-US"/>
              </w:rPr>
            </w:pPr>
            <w:r w:rsidRPr="003C0940">
              <w:rPr>
                <w:rFonts w:ascii="Verdana" w:hAnsi="Verdana"/>
                <w:b/>
                <w:bCs/>
                <w:sz w:val="20"/>
                <w:szCs w:val="20"/>
                <w:lang w:val="en-US"/>
              </w:rPr>
              <w:t xml:space="preserve">3.4. </w:t>
            </w:r>
            <w:r w:rsidRPr="003C0940">
              <w:rPr>
                <w:rFonts w:ascii="Verdana" w:hAnsi="Verdana"/>
                <w:sz w:val="20"/>
                <w:szCs w:val="20"/>
                <w:lang w:val="en-US"/>
              </w:rPr>
              <w:t>This Annex 3 shall enter into force on the day of signing by the authorized representatives of the Parties.</w:t>
            </w:r>
          </w:p>
          <w:p w14:paraId="5E8D74E3" w14:textId="77777777" w:rsidR="00CB141E" w:rsidRPr="003C0940" w:rsidRDefault="00CB141E" w:rsidP="00CB141E">
            <w:pPr>
              <w:keepNext/>
              <w:snapToGrid w:val="0"/>
              <w:jc w:val="both"/>
              <w:rPr>
                <w:rFonts w:ascii="Verdana" w:hAnsi="Verdana"/>
                <w:b/>
                <w:bCs/>
                <w:sz w:val="20"/>
                <w:szCs w:val="20"/>
                <w:lang w:val="en-US"/>
              </w:rPr>
            </w:pPr>
          </w:p>
          <w:p w14:paraId="3365781A" w14:textId="77777777" w:rsidR="00E47737" w:rsidRPr="003C0940" w:rsidRDefault="00E47737" w:rsidP="00CB141E">
            <w:pPr>
              <w:keepNext/>
              <w:snapToGrid w:val="0"/>
              <w:jc w:val="both"/>
              <w:rPr>
                <w:rFonts w:ascii="Verdana" w:hAnsi="Verdana"/>
                <w:sz w:val="20"/>
                <w:szCs w:val="20"/>
                <w:lang w:val="en-US"/>
              </w:rPr>
            </w:pPr>
            <w:r w:rsidRPr="003C0940">
              <w:rPr>
                <w:rFonts w:ascii="Verdana" w:hAnsi="Verdana"/>
                <w:b/>
                <w:bCs/>
                <w:sz w:val="20"/>
                <w:szCs w:val="20"/>
                <w:lang w:val="en-US"/>
              </w:rPr>
              <w:t xml:space="preserve">3.5. </w:t>
            </w:r>
            <w:r w:rsidRPr="003C0940">
              <w:rPr>
                <w:rFonts w:ascii="Verdana" w:hAnsi="Verdana"/>
                <w:sz w:val="20"/>
                <w:szCs w:val="20"/>
                <w:lang w:val="en-US"/>
              </w:rPr>
              <w:t>The Contracting Parties agree that, if this Annex 3 is signed by the authorized representatives of the Contracting Parties before the decision of the Lapovo Municipal Assembly giving consent to the subject Annex 3 and authorizing the President of the Municipality of Lapovo to sign this Annex 3, it shall enter into legal force on the day of its approval, i.e. approval of Annex 3 by the Lapovo Municipal Assembly and the authorization of the Mayor of Lapovo to sign Annex 3.</w:t>
            </w:r>
          </w:p>
          <w:p w14:paraId="38D313CF" w14:textId="77777777" w:rsidR="008459AD" w:rsidRPr="003C0940" w:rsidRDefault="008459AD" w:rsidP="00CB141E">
            <w:pPr>
              <w:keepNext/>
              <w:snapToGrid w:val="0"/>
              <w:jc w:val="both"/>
              <w:rPr>
                <w:rFonts w:ascii="Verdana" w:hAnsi="Verdana"/>
                <w:sz w:val="20"/>
                <w:szCs w:val="20"/>
                <w:lang w:val="en-US"/>
              </w:rPr>
            </w:pPr>
          </w:p>
          <w:p w14:paraId="2CCC8FB7" w14:textId="58F15D16" w:rsidR="008459AD" w:rsidRPr="003C0940" w:rsidRDefault="008459AD" w:rsidP="00CB141E">
            <w:pPr>
              <w:keepNext/>
              <w:snapToGrid w:val="0"/>
              <w:jc w:val="both"/>
              <w:rPr>
                <w:rFonts w:ascii="Verdana" w:hAnsi="Verdana"/>
                <w:sz w:val="20"/>
                <w:szCs w:val="20"/>
                <w:lang w:val="en-US"/>
              </w:rPr>
            </w:pPr>
            <w:r w:rsidRPr="003C0940">
              <w:rPr>
                <w:rFonts w:ascii="Verdana" w:hAnsi="Verdana"/>
                <w:b/>
                <w:bCs/>
                <w:sz w:val="20"/>
                <w:szCs w:val="20"/>
                <w:lang w:val="en-US"/>
              </w:rPr>
              <w:t>3.6.</w:t>
            </w:r>
            <w:r w:rsidR="00AF2EA0" w:rsidRPr="003C0940">
              <w:t xml:space="preserve"> </w:t>
            </w:r>
            <w:r w:rsidR="00AF2EA0" w:rsidRPr="003C0940">
              <w:rPr>
                <w:rFonts w:ascii="Verdana" w:hAnsi="Verdana"/>
                <w:sz w:val="20"/>
                <w:szCs w:val="20"/>
                <w:lang w:val="en-US"/>
              </w:rPr>
              <w:t xml:space="preserve">This Annex 3 is valid until </w:t>
            </w:r>
            <w:r w:rsidR="00A067A4" w:rsidRPr="003C0940">
              <w:rPr>
                <w:rFonts w:ascii="Verdana" w:hAnsi="Verdana"/>
                <w:sz w:val="20"/>
                <w:szCs w:val="20"/>
                <w:lang w:val="en-US"/>
              </w:rPr>
              <w:t>December</w:t>
            </w:r>
            <w:r w:rsidR="00AF2EA0" w:rsidRPr="003C0940">
              <w:rPr>
                <w:rFonts w:ascii="Verdana" w:hAnsi="Verdana"/>
                <w:sz w:val="20"/>
                <w:szCs w:val="20"/>
                <w:lang w:val="en-US"/>
              </w:rPr>
              <w:t xml:space="preserve"> 31, 202</w:t>
            </w:r>
            <w:r w:rsidR="00A067A4" w:rsidRPr="003C0940">
              <w:rPr>
                <w:rFonts w:ascii="Verdana" w:hAnsi="Verdana"/>
                <w:sz w:val="20"/>
                <w:szCs w:val="20"/>
                <w:lang w:val="en-US"/>
              </w:rPr>
              <w:t>5</w:t>
            </w:r>
            <w:r w:rsidR="00AF2EA0" w:rsidRPr="003C0940">
              <w:rPr>
                <w:rFonts w:ascii="Verdana" w:hAnsi="Verdana"/>
                <w:sz w:val="20"/>
                <w:szCs w:val="20"/>
                <w:lang w:val="en-US"/>
              </w:rPr>
              <w:t xml:space="preserve">, </w:t>
            </w:r>
            <w:r w:rsidR="00A067A4" w:rsidRPr="003C0940">
              <w:rPr>
                <w:rFonts w:ascii="Verdana" w:hAnsi="Verdana"/>
                <w:sz w:val="20"/>
                <w:szCs w:val="20"/>
                <w:lang w:val="en-US"/>
              </w:rPr>
              <w:t xml:space="preserve">and after it enters into force, the Parties will </w:t>
            </w:r>
            <w:proofErr w:type="gramStart"/>
            <w:r w:rsidR="00A067A4" w:rsidRPr="003C0940">
              <w:rPr>
                <w:rFonts w:ascii="Verdana" w:hAnsi="Verdana"/>
                <w:sz w:val="20"/>
                <w:szCs w:val="20"/>
                <w:lang w:val="en-US"/>
              </w:rPr>
              <w:t>enter into</w:t>
            </w:r>
            <w:proofErr w:type="gramEnd"/>
            <w:r w:rsidR="00A067A4" w:rsidRPr="003C0940">
              <w:rPr>
                <w:rFonts w:ascii="Verdana" w:hAnsi="Verdana"/>
                <w:sz w:val="20"/>
                <w:szCs w:val="20"/>
                <w:lang w:val="en-US"/>
              </w:rPr>
              <w:t xml:space="preserve"> negotiations for the signing of a new Contract on waste collection, effective from 01.01.2026. year.</w:t>
            </w:r>
          </w:p>
          <w:p w14:paraId="555F3B32" w14:textId="77777777" w:rsidR="00AF2EA0" w:rsidRPr="003C0940" w:rsidRDefault="00AF2EA0" w:rsidP="00CB141E">
            <w:pPr>
              <w:keepNext/>
              <w:snapToGrid w:val="0"/>
              <w:jc w:val="both"/>
              <w:rPr>
                <w:rFonts w:ascii="Verdana" w:hAnsi="Verdana"/>
                <w:sz w:val="20"/>
                <w:szCs w:val="20"/>
                <w:lang w:val="en-US"/>
              </w:rPr>
            </w:pPr>
          </w:p>
          <w:p w14:paraId="2252E5F3" w14:textId="77777777" w:rsidR="001B27F8" w:rsidRPr="003C0940" w:rsidRDefault="001B27F8" w:rsidP="001B27F8">
            <w:pPr>
              <w:keepNext/>
              <w:snapToGrid w:val="0"/>
              <w:jc w:val="both"/>
              <w:rPr>
                <w:rFonts w:ascii="Verdana" w:hAnsi="Verdana"/>
                <w:b/>
                <w:bCs/>
                <w:sz w:val="20"/>
                <w:szCs w:val="20"/>
                <w:lang w:val="en-US"/>
              </w:rPr>
            </w:pPr>
            <w:r w:rsidRPr="003C0940">
              <w:rPr>
                <w:rFonts w:ascii="Verdana" w:hAnsi="Verdana"/>
                <w:b/>
                <w:bCs/>
                <w:sz w:val="20"/>
                <w:szCs w:val="20"/>
                <w:lang w:val="en-US"/>
              </w:rPr>
              <w:t>III FINAL PROVISIONS</w:t>
            </w:r>
          </w:p>
          <w:p w14:paraId="614C5891" w14:textId="77777777" w:rsidR="001B27F8" w:rsidRPr="003C0940" w:rsidRDefault="001B27F8" w:rsidP="001B27F8">
            <w:pPr>
              <w:keepNext/>
              <w:snapToGrid w:val="0"/>
              <w:jc w:val="both"/>
              <w:rPr>
                <w:rFonts w:ascii="Verdana" w:hAnsi="Verdana"/>
                <w:b/>
                <w:bCs/>
                <w:sz w:val="20"/>
                <w:szCs w:val="20"/>
                <w:lang w:val="en-US"/>
              </w:rPr>
            </w:pPr>
          </w:p>
          <w:p w14:paraId="48EEA2D8" w14:textId="77777777" w:rsidR="001B27F8" w:rsidRPr="003C0940" w:rsidRDefault="001B27F8" w:rsidP="001B27F8">
            <w:pPr>
              <w:keepNext/>
              <w:snapToGrid w:val="0"/>
              <w:jc w:val="center"/>
              <w:rPr>
                <w:rFonts w:ascii="Verdana" w:hAnsi="Verdana"/>
                <w:b/>
                <w:bCs/>
                <w:sz w:val="20"/>
                <w:szCs w:val="20"/>
                <w:lang w:val="en-US"/>
              </w:rPr>
            </w:pPr>
            <w:r w:rsidRPr="003C0940">
              <w:rPr>
                <w:rFonts w:ascii="Verdana" w:hAnsi="Verdana"/>
                <w:b/>
                <w:bCs/>
                <w:sz w:val="20"/>
                <w:szCs w:val="20"/>
                <w:lang w:val="en-US"/>
              </w:rPr>
              <w:t>Article 4</w:t>
            </w:r>
          </w:p>
          <w:p w14:paraId="05EA0F17" w14:textId="77777777" w:rsidR="001B27F8" w:rsidRPr="003C0940" w:rsidRDefault="001B27F8" w:rsidP="001B27F8">
            <w:pPr>
              <w:keepNext/>
              <w:snapToGrid w:val="0"/>
              <w:jc w:val="both"/>
              <w:rPr>
                <w:rFonts w:ascii="Verdana" w:hAnsi="Verdana"/>
                <w:b/>
                <w:bCs/>
                <w:sz w:val="20"/>
                <w:szCs w:val="20"/>
                <w:lang w:val="en-US"/>
              </w:rPr>
            </w:pPr>
          </w:p>
          <w:p w14:paraId="7F5197EE" w14:textId="4FB117BC" w:rsidR="001B27F8" w:rsidRPr="003C0940" w:rsidRDefault="001B27F8" w:rsidP="001B27F8">
            <w:pPr>
              <w:keepNext/>
              <w:snapToGrid w:val="0"/>
              <w:jc w:val="both"/>
              <w:rPr>
                <w:rFonts w:ascii="Verdana" w:hAnsi="Verdana"/>
                <w:b/>
                <w:bCs/>
                <w:sz w:val="20"/>
                <w:szCs w:val="20"/>
                <w:lang w:val="en-US"/>
              </w:rPr>
            </w:pPr>
            <w:r w:rsidRPr="003C0940">
              <w:rPr>
                <w:rFonts w:ascii="Verdana" w:hAnsi="Verdana"/>
                <w:b/>
                <w:bCs/>
                <w:sz w:val="20"/>
                <w:szCs w:val="20"/>
                <w:lang w:val="en-US"/>
              </w:rPr>
              <w:t xml:space="preserve">4.1. </w:t>
            </w:r>
            <w:r w:rsidR="000F4FB8" w:rsidRPr="003C0940">
              <w:rPr>
                <w:rFonts w:ascii="Verdana" w:hAnsi="Verdana"/>
                <w:sz w:val="20"/>
                <w:szCs w:val="20"/>
                <w:lang w:val="en-US"/>
              </w:rPr>
              <w:t>Annex</w:t>
            </w:r>
            <w:r w:rsidRPr="003C0940">
              <w:rPr>
                <w:rFonts w:ascii="Verdana" w:hAnsi="Verdana"/>
                <w:sz w:val="20"/>
                <w:szCs w:val="20"/>
                <w:lang w:val="en-US"/>
              </w:rPr>
              <w:t xml:space="preserve"> 3 is an integral part of the basic contract on waste collection with the associated </w:t>
            </w:r>
            <w:r w:rsidR="0005240F" w:rsidRPr="003C0940">
              <w:rPr>
                <w:rFonts w:ascii="Verdana" w:hAnsi="Verdana"/>
                <w:sz w:val="20"/>
                <w:szCs w:val="20"/>
                <w:lang w:val="en-US"/>
              </w:rPr>
              <w:t>Attachment</w:t>
            </w:r>
            <w:r w:rsidRPr="003C0940">
              <w:rPr>
                <w:rFonts w:ascii="Verdana" w:hAnsi="Verdana"/>
                <w:sz w:val="20"/>
                <w:szCs w:val="20"/>
                <w:lang w:val="en-US"/>
              </w:rPr>
              <w:t xml:space="preserve"> 1 (Price list) - regular municipal waste collection services, </w:t>
            </w:r>
            <w:r w:rsidR="00FC7301" w:rsidRPr="003C0940">
              <w:rPr>
                <w:rFonts w:ascii="Verdana" w:hAnsi="Verdana"/>
                <w:sz w:val="20"/>
                <w:szCs w:val="20"/>
                <w:lang w:val="en-US"/>
              </w:rPr>
              <w:t>Attachment 2</w:t>
            </w:r>
            <w:r w:rsidRPr="003C0940">
              <w:rPr>
                <w:rFonts w:ascii="Verdana" w:hAnsi="Verdana"/>
                <w:sz w:val="20"/>
                <w:szCs w:val="20"/>
                <w:lang w:val="en-US"/>
              </w:rPr>
              <w:t xml:space="preserve"> (Price list) - additional services, individually contracted municipal waste collection services and </w:t>
            </w:r>
            <w:r w:rsidR="00536945" w:rsidRPr="003C0940">
              <w:rPr>
                <w:rFonts w:ascii="Verdana" w:hAnsi="Verdana"/>
                <w:sz w:val="20"/>
                <w:szCs w:val="20"/>
                <w:lang w:val="en-US"/>
              </w:rPr>
              <w:t>Attachment</w:t>
            </w:r>
            <w:r w:rsidRPr="003C0940">
              <w:rPr>
                <w:rFonts w:ascii="Verdana" w:hAnsi="Verdana"/>
                <w:sz w:val="20"/>
                <w:szCs w:val="20"/>
                <w:lang w:val="en-US"/>
              </w:rPr>
              <w:t xml:space="preserve"> 3 (Waste collection plan - Routes).</w:t>
            </w:r>
          </w:p>
          <w:p w14:paraId="783E7699" w14:textId="77777777" w:rsidR="001B27F8" w:rsidRPr="003C0940" w:rsidRDefault="001B27F8" w:rsidP="001B27F8">
            <w:pPr>
              <w:keepNext/>
              <w:snapToGrid w:val="0"/>
              <w:jc w:val="both"/>
              <w:rPr>
                <w:rFonts w:ascii="Verdana" w:hAnsi="Verdana"/>
                <w:b/>
                <w:bCs/>
                <w:sz w:val="20"/>
                <w:szCs w:val="20"/>
                <w:lang w:val="en-US"/>
              </w:rPr>
            </w:pPr>
          </w:p>
          <w:p w14:paraId="0F58D694" w14:textId="77777777" w:rsidR="001B27F8" w:rsidRPr="003C0940" w:rsidRDefault="001B27F8" w:rsidP="001B27F8">
            <w:pPr>
              <w:keepNext/>
              <w:snapToGrid w:val="0"/>
              <w:jc w:val="center"/>
              <w:rPr>
                <w:rFonts w:ascii="Verdana" w:hAnsi="Verdana"/>
                <w:b/>
                <w:bCs/>
                <w:sz w:val="20"/>
                <w:szCs w:val="20"/>
                <w:lang w:val="en-US"/>
              </w:rPr>
            </w:pPr>
            <w:r w:rsidRPr="003C0940">
              <w:rPr>
                <w:rFonts w:ascii="Verdana" w:hAnsi="Verdana"/>
                <w:b/>
                <w:bCs/>
                <w:sz w:val="20"/>
                <w:szCs w:val="20"/>
                <w:lang w:val="en-US"/>
              </w:rPr>
              <w:t>Article 5</w:t>
            </w:r>
          </w:p>
          <w:p w14:paraId="5E2C9D24" w14:textId="77777777" w:rsidR="001B27F8" w:rsidRPr="003C0940" w:rsidRDefault="001B27F8" w:rsidP="001B27F8">
            <w:pPr>
              <w:keepNext/>
              <w:snapToGrid w:val="0"/>
              <w:jc w:val="both"/>
              <w:rPr>
                <w:rFonts w:ascii="Verdana" w:hAnsi="Verdana"/>
                <w:b/>
                <w:bCs/>
                <w:sz w:val="20"/>
                <w:szCs w:val="20"/>
                <w:lang w:val="en-US"/>
              </w:rPr>
            </w:pPr>
          </w:p>
          <w:p w14:paraId="709562D0" w14:textId="77777777" w:rsidR="001B27F8" w:rsidRPr="003C0940" w:rsidRDefault="001B27F8" w:rsidP="001B27F8">
            <w:pPr>
              <w:keepNext/>
              <w:snapToGrid w:val="0"/>
              <w:jc w:val="both"/>
              <w:rPr>
                <w:rFonts w:ascii="Verdana" w:hAnsi="Verdana"/>
                <w:sz w:val="20"/>
                <w:szCs w:val="20"/>
                <w:lang w:val="en-US"/>
              </w:rPr>
            </w:pPr>
            <w:r w:rsidRPr="003C0940">
              <w:rPr>
                <w:rFonts w:ascii="Verdana" w:hAnsi="Verdana"/>
                <w:sz w:val="20"/>
                <w:szCs w:val="20"/>
                <w:lang w:val="en-US"/>
              </w:rPr>
              <w:t>Unless otherwise specified in this Annex 3, all other provisions of the Agreement remain unchanged and in full legal force.</w:t>
            </w:r>
          </w:p>
          <w:p w14:paraId="2DFCC59E" w14:textId="77777777" w:rsidR="001B27F8" w:rsidRPr="003C0940" w:rsidRDefault="001B27F8" w:rsidP="001B27F8">
            <w:pPr>
              <w:keepNext/>
              <w:snapToGrid w:val="0"/>
              <w:jc w:val="both"/>
              <w:rPr>
                <w:rFonts w:ascii="Verdana" w:hAnsi="Verdana"/>
                <w:sz w:val="20"/>
                <w:szCs w:val="20"/>
                <w:lang w:val="en-US"/>
              </w:rPr>
            </w:pPr>
          </w:p>
          <w:p w14:paraId="55360235" w14:textId="77777777" w:rsidR="001B27F8" w:rsidRPr="003C0940" w:rsidRDefault="001B27F8" w:rsidP="001B27F8">
            <w:pPr>
              <w:keepNext/>
              <w:snapToGrid w:val="0"/>
              <w:jc w:val="both"/>
              <w:rPr>
                <w:rFonts w:ascii="Verdana" w:hAnsi="Verdana"/>
                <w:sz w:val="20"/>
                <w:szCs w:val="20"/>
                <w:lang w:val="en-US"/>
              </w:rPr>
            </w:pPr>
            <w:r w:rsidRPr="003C0940">
              <w:rPr>
                <w:rFonts w:ascii="Verdana" w:hAnsi="Verdana"/>
                <w:sz w:val="20"/>
                <w:szCs w:val="20"/>
                <w:lang w:val="en-US"/>
              </w:rPr>
              <w:t>This Annex 3 is written in Serbian and English. In case of disagreement, the version in the Serbian language will prevail.</w:t>
            </w:r>
          </w:p>
          <w:p w14:paraId="13FF93DB" w14:textId="77777777" w:rsidR="001B27F8" w:rsidRPr="003C0940" w:rsidRDefault="001B27F8" w:rsidP="001B27F8">
            <w:pPr>
              <w:keepNext/>
              <w:snapToGrid w:val="0"/>
              <w:jc w:val="both"/>
              <w:rPr>
                <w:rFonts w:ascii="Verdana" w:hAnsi="Verdana"/>
                <w:b/>
                <w:bCs/>
                <w:sz w:val="20"/>
                <w:szCs w:val="20"/>
                <w:lang w:val="en-US"/>
              </w:rPr>
            </w:pPr>
          </w:p>
          <w:p w14:paraId="4ED801EA" w14:textId="77777777" w:rsidR="001B27F8" w:rsidRPr="003C0940" w:rsidRDefault="001B27F8" w:rsidP="001B27F8">
            <w:pPr>
              <w:keepNext/>
              <w:snapToGrid w:val="0"/>
              <w:jc w:val="center"/>
              <w:rPr>
                <w:rFonts w:ascii="Verdana" w:hAnsi="Verdana"/>
                <w:b/>
                <w:bCs/>
                <w:sz w:val="20"/>
                <w:szCs w:val="20"/>
                <w:lang w:val="en-US"/>
              </w:rPr>
            </w:pPr>
            <w:r w:rsidRPr="003C0940">
              <w:rPr>
                <w:rFonts w:ascii="Verdana" w:hAnsi="Verdana"/>
                <w:b/>
                <w:bCs/>
                <w:sz w:val="20"/>
                <w:szCs w:val="20"/>
                <w:lang w:val="en-US"/>
              </w:rPr>
              <w:t>Article 6</w:t>
            </w:r>
          </w:p>
          <w:p w14:paraId="4FCE412D" w14:textId="77777777" w:rsidR="001B27F8" w:rsidRPr="003C0940" w:rsidRDefault="001B27F8" w:rsidP="001B27F8">
            <w:pPr>
              <w:keepNext/>
              <w:snapToGrid w:val="0"/>
              <w:jc w:val="both"/>
              <w:rPr>
                <w:rFonts w:ascii="Verdana" w:hAnsi="Verdana"/>
                <w:b/>
                <w:bCs/>
                <w:sz w:val="20"/>
                <w:szCs w:val="20"/>
                <w:lang w:val="en-US"/>
              </w:rPr>
            </w:pPr>
          </w:p>
          <w:p w14:paraId="660E18BB" w14:textId="36A74D04" w:rsidR="00AF2EA0" w:rsidRPr="003C0940" w:rsidRDefault="001B27F8" w:rsidP="001B27F8">
            <w:pPr>
              <w:keepNext/>
              <w:snapToGrid w:val="0"/>
              <w:jc w:val="both"/>
              <w:rPr>
                <w:rFonts w:ascii="Verdana" w:hAnsi="Verdana"/>
                <w:sz w:val="20"/>
                <w:szCs w:val="20"/>
                <w:lang w:val="en-US"/>
              </w:rPr>
            </w:pPr>
            <w:r w:rsidRPr="003C0940">
              <w:rPr>
                <w:rFonts w:ascii="Verdana" w:hAnsi="Verdana"/>
                <w:sz w:val="20"/>
                <w:szCs w:val="20"/>
                <w:lang w:val="en-US"/>
              </w:rPr>
              <w:lastRenderedPageBreak/>
              <w:t>This Annex 3 is signed in 4 (four) identical copies, 2 (two) for each Contracting Party.</w:t>
            </w:r>
          </w:p>
        </w:tc>
      </w:tr>
    </w:tbl>
    <w:p w14:paraId="2DD5F7D4" w14:textId="77777777" w:rsidR="005312EA" w:rsidRDefault="005312EA" w:rsidP="005312EA">
      <w:pPr>
        <w:rPr>
          <w:b/>
          <w:bCs/>
        </w:rPr>
      </w:pPr>
    </w:p>
    <w:p w14:paraId="04914028" w14:textId="77777777" w:rsidR="005312EA" w:rsidRPr="00205A06" w:rsidRDefault="005312EA" w:rsidP="005312EA">
      <w:pPr>
        <w:rPr>
          <w:b/>
          <w:bCs/>
        </w:rPr>
      </w:pPr>
      <w:r w:rsidRPr="00205A06">
        <w:rPr>
          <w:b/>
          <w:bCs/>
        </w:rPr>
        <w:t xml:space="preserve">PRILOG </w:t>
      </w:r>
      <w:r>
        <w:rPr>
          <w:b/>
          <w:bCs/>
        </w:rPr>
        <w:t>1</w:t>
      </w:r>
      <w:r w:rsidRPr="00205A06">
        <w:rPr>
          <w:b/>
          <w:bCs/>
        </w:rPr>
        <w:t xml:space="preserve"> UGOVORA – CENOVNIK ZA 202</w:t>
      </w:r>
      <w:r>
        <w:rPr>
          <w:b/>
          <w:bCs/>
        </w:rPr>
        <w:t>5</w:t>
      </w:r>
      <w:r w:rsidRPr="00205A06">
        <w:rPr>
          <w:b/>
          <w:bCs/>
        </w:rPr>
        <w:t>. GODINU – OPŠTINA LAPOVO</w:t>
      </w:r>
    </w:p>
    <w:p w14:paraId="53570497" w14:textId="77777777" w:rsidR="005312EA" w:rsidRPr="00205A06" w:rsidRDefault="005312EA" w:rsidP="005312EA">
      <w:pPr>
        <w:rPr>
          <w:b/>
          <w:bCs/>
        </w:rPr>
      </w:pPr>
      <w:r w:rsidRPr="00205A06">
        <w:rPr>
          <w:b/>
          <w:bCs/>
        </w:rPr>
        <w:t>Struktura novih cena pružanja komunalnih usluga na teritoriji opštine Lapovo za 202</w:t>
      </w:r>
      <w:r>
        <w:rPr>
          <w:b/>
          <w:bCs/>
        </w:rPr>
        <w:t>5</w:t>
      </w:r>
      <w:r w:rsidRPr="00205A06">
        <w:rPr>
          <w:b/>
          <w:bCs/>
        </w:rPr>
        <w:t>. godinu</w:t>
      </w:r>
    </w:p>
    <w:p w14:paraId="4C57E853" w14:textId="77777777" w:rsidR="005312EA" w:rsidRPr="00205A06" w:rsidRDefault="005312EA" w:rsidP="005312EA">
      <w:pPr>
        <w:rPr>
          <w:b/>
          <w:bCs/>
        </w:rPr>
      </w:pPr>
      <w:r w:rsidRPr="00205A06">
        <w:rPr>
          <w:b/>
          <w:bCs/>
        </w:rPr>
        <w:t xml:space="preserve">REDOVNE USLUGE </w:t>
      </w:r>
    </w:p>
    <w:p w14:paraId="63789F54" w14:textId="77777777" w:rsidR="005312EA" w:rsidRPr="00205A06" w:rsidRDefault="005312EA" w:rsidP="005312EA">
      <w:pPr>
        <w:rPr>
          <w:b/>
          <w:bCs/>
        </w:rPr>
      </w:pPr>
      <w:r w:rsidRPr="00205A06">
        <w:rPr>
          <w:b/>
          <w:bCs/>
        </w:rPr>
        <w:t xml:space="preserve">STANOVNIŠTVO </w:t>
      </w:r>
    </w:p>
    <w:tbl>
      <w:tblPr>
        <w:tblW w:w="8854" w:type="dxa"/>
        <w:tblLook w:val="04A0" w:firstRow="1" w:lastRow="0" w:firstColumn="1" w:lastColumn="0" w:noHBand="0" w:noVBand="1"/>
      </w:tblPr>
      <w:tblGrid>
        <w:gridCol w:w="831"/>
        <w:gridCol w:w="3214"/>
        <w:gridCol w:w="2117"/>
        <w:gridCol w:w="1058"/>
        <w:gridCol w:w="443"/>
        <w:gridCol w:w="1191"/>
      </w:tblGrid>
      <w:tr w:rsidR="000C69DA" w:rsidRPr="00034F68" w14:paraId="23607723" w14:textId="77777777" w:rsidTr="000C69DA">
        <w:trPr>
          <w:trHeight w:val="495"/>
        </w:trPr>
        <w:tc>
          <w:tcPr>
            <w:tcW w:w="831" w:type="dxa"/>
            <w:tcBorders>
              <w:top w:val="single" w:sz="4" w:space="0" w:color="auto"/>
              <w:left w:val="single" w:sz="4" w:space="0" w:color="auto"/>
              <w:bottom w:val="single" w:sz="4" w:space="0" w:color="auto"/>
              <w:right w:val="single" w:sz="4" w:space="0" w:color="auto"/>
            </w:tcBorders>
            <w:shd w:val="clear" w:color="auto" w:fill="305496"/>
            <w:noWrap/>
            <w:vAlign w:val="center"/>
            <w:hideMark/>
          </w:tcPr>
          <w:p w14:paraId="258537ED" w14:textId="77777777" w:rsidR="000C69DA" w:rsidRPr="00205A06" w:rsidRDefault="000C69DA" w:rsidP="00C95D2E">
            <w:pPr>
              <w:rPr>
                <w:color w:val="FFFFFF" w:themeColor="background1"/>
              </w:rPr>
            </w:pPr>
            <w:r w:rsidRPr="00205A06">
              <w:rPr>
                <w:color w:val="FFFFFF" w:themeColor="background1"/>
              </w:rPr>
              <w:t>red.br.</w:t>
            </w:r>
          </w:p>
        </w:tc>
        <w:tc>
          <w:tcPr>
            <w:tcW w:w="3214" w:type="dxa"/>
            <w:tcBorders>
              <w:top w:val="single" w:sz="4" w:space="0" w:color="auto"/>
              <w:left w:val="nil"/>
              <w:bottom w:val="single" w:sz="4" w:space="0" w:color="auto"/>
              <w:right w:val="single" w:sz="4" w:space="0" w:color="auto"/>
            </w:tcBorders>
            <w:shd w:val="clear" w:color="auto" w:fill="305496"/>
            <w:noWrap/>
            <w:vAlign w:val="center"/>
            <w:hideMark/>
          </w:tcPr>
          <w:p w14:paraId="02BF53D8" w14:textId="77777777" w:rsidR="000C69DA" w:rsidRPr="00205A06" w:rsidRDefault="000C69DA" w:rsidP="00C95D2E">
            <w:pPr>
              <w:rPr>
                <w:color w:val="FFFFFF" w:themeColor="background1"/>
              </w:rPr>
            </w:pPr>
            <w:r w:rsidRPr="00205A06">
              <w:rPr>
                <w:color w:val="FFFFFF" w:themeColor="background1"/>
              </w:rPr>
              <w:t>Naziv usluge</w:t>
            </w:r>
          </w:p>
        </w:tc>
        <w:tc>
          <w:tcPr>
            <w:tcW w:w="2117" w:type="dxa"/>
            <w:tcBorders>
              <w:top w:val="single" w:sz="4" w:space="0" w:color="auto"/>
              <w:left w:val="nil"/>
              <w:bottom w:val="single" w:sz="4" w:space="0" w:color="auto"/>
              <w:right w:val="single" w:sz="4" w:space="0" w:color="auto"/>
            </w:tcBorders>
            <w:shd w:val="clear" w:color="auto" w:fill="305496"/>
            <w:noWrap/>
            <w:vAlign w:val="center"/>
            <w:hideMark/>
          </w:tcPr>
          <w:p w14:paraId="010049A8" w14:textId="77777777" w:rsidR="000C69DA" w:rsidRPr="00205A06" w:rsidRDefault="000C69DA" w:rsidP="00C95D2E">
            <w:pPr>
              <w:rPr>
                <w:color w:val="FFFFFF" w:themeColor="background1"/>
              </w:rPr>
            </w:pPr>
            <w:r w:rsidRPr="00205A06">
              <w:rPr>
                <w:color w:val="FFFFFF" w:themeColor="background1"/>
              </w:rPr>
              <w:t>jed.</w:t>
            </w:r>
          </w:p>
        </w:tc>
        <w:tc>
          <w:tcPr>
            <w:tcW w:w="1058" w:type="dxa"/>
            <w:tcBorders>
              <w:top w:val="single" w:sz="4" w:space="0" w:color="auto"/>
              <w:left w:val="nil"/>
              <w:bottom w:val="single" w:sz="4" w:space="0" w:color="auto"/>
              <w:right w:val="single" w:sz="4" w:space="0" w:color="auto"/>
            </w:tcBorders>
            <w:shd w:val="clear" w:color="auto" w:fill="305496"/>
            <w:vAlign w:val="center"/>
            <w:hideMark/>
          </w:tcPr>
          <w:p w14:paraId="031670C1" w14:textId="77777777" w:rsidR="000C69DA" w:rsidRPr="00205A06" w:rsidRDefault="000C69DA" w:rsidP="00C95D2E">
            <w:pPr>
              <w:rPr>
                <w:color w:val="FFFFFF" w:themeColor="background1"/>
                <w:lang w:val="es-ES"/>
              </w:rPr>
            </w:pPr>
            <w:proofErr w:type="gramStart"/>
            <w:r w:rsidRPr="00205A06">
              <w:rPr>
                <w:color w:val="FFFFFF" w:themeColor="background1"/>
                <w:lang w:val="es-ES"/>
              </w:rPr>
              <w:t>RSD  cena</w:t>
            </w:r>
            <w:proofErr w:type="gramEnd"/>
            <w:r w:rsidRPr="00205A06">
              <w:rPr>
                <w:color w:val="FFFFFF" w:themeColor="background1"/>
                <w:lang w:val="es-ES"/>
              </w:rPr>
              <w:t xml:space="preserve"> </w:t>
            </w:r>
            <w:proofErr w:type="spellStart"/>
            <w:r w:rsidRPr="00205A06">
              <w:rPr>
                <w:color w:val="FFFFFF" w:themeColor="background1"/>
                <w:lang w:val="es-ES"/>
              </w:rPr>
              <w:t>bez</w:t>
            </w:r>
            <w:proofErr w:type="spellEnd"/>
            <w:r w:rsidRPr="00205A06">
              <w:rPr>
                <w:color w:val="FFFFFF" w:themeColor="background1"/>
                <w:lang w:val="es-ES"/>
              </w:rPr>
              <w:t xml:space="preserve"> </w:t>
            </w:r>
            <w:proofErr w:type="spellStart"/>
            <w:r w:rsidRPr="00205A06">
              <w:rPr>
                <w:color w:val="FFFFFF" w:themeColor="background1"/>
                <w:lang w:val="es-ES"/>
              </w:rPr>
              <w:t>pdv</w:t>
            </w:r>
            <w:proofErr w:type="spellEnd"/>
            <w:r w:rsidRPr="00205A06">
              <w:rPr>
                <w:color w:val="FFFFFF" w:themeColor="background1"/>
                <w:lang w:val="es-ES"/>
              </w:rPr>
              <w:t xml:space="preserve">-a </w:t>
            </w:r>
          </w:p>
        </w:tc>
        <w:tc>
          <w:tcPr>
            <w:tcW w:w="443" w:type="dxa"/>
            <w:tcBorders>
              <w:top w:val="single" w:sz="4" w:space="0" w:color="auto"/>
              <w:left w:val="nil"/>
              <w:bottom w:val="single" w:sz="4" w:space="0" w:color="auto"/>
              <w:right w:val="nil"/>
            </w:tcBorders>
            <w:shd w:val="clear" w:color="auto" w:fill="305496"/>
          </w:tcPr>
          <w:p w14:paraId="0EF04180" w14:textId="77777777" w:rsidR="000C69DA" w:rsidRPr="00205A06" w:rsidRDefault="000C69DA" w:rsidP="00C95D2E">
            <w:pPr>
              <w:rPr>
                <w:color w:val="FFFFFF" w:themeColor="background1"/>
                <w:lang w:val="es-ES"/>
              </w:rPr>
            </w:pPr>
          </w:p>
        </w:tc>
        <w:tc>
          <w:tcPr>
            <w:tcW w:w="1191" w:type="dxa"/>
            <w:tcBorders>
              <w:top w:val="single" w:sz="4" w:space="0" w:color="auto"/>
              <w:left w:val="nil"/>
              <w:bottom w:val="single" w:sz="4" w:space="0" w:color="auto"/>
              <w:right w:val="single" w:sz="4" w:space="0" w:color="auto"/>
            </w:tcBorders>
            <w:shd w:val="clear" w:color="auto" w:fill="305496"/>
          </w:tcPr>
          <w:p w14:paraId="320D845B" w14:textId="3687AE91" w:rsidR="000C69DA" w:rsidRPr="00205A06" w:rsidRDefault="000C69DA" w:rsidP="00C95D2E">
            <w:pPr>
              <w:rPr>
                <w:color w:val="FFFFFF" w:themeColor="background1"/>
                <w:lang w:val="es-ES"/>
              </w:rPr>
            </w:pPr>
            <w:r w:rsidRPr="00205A06">
              <w:rPr>
                <w:color w:val="FFFFFF" w:themeColor="background1"/>
                <w:lang w:val="es-ES"/>
              </w:rPr>
              <w:t xml:space="preserve">RSD nova cena </w:t>
            </w:r>
            <w:proofErr w:type="spellStart"/>
            <w:r>
              <w:rPr>
                <w:color w:val="FFFFFF" w:themeColor="background1"/>
                <w:lang w:val="es-ES"/>
              </w:rPr>
              <w:t>bez</w:t>
            </w:r>
            <w:proofErr w:type="spellEnd"/>
            <w:r>
              <w:rPr>
                <w:color w:val="FFFFFF" w:themeColor="background1"/>
                <w:lang w:val="es-ES"/>
              </w:rPr>
              <w:t xml:space="preserve"> </w:t>
            </w:r>
            <w:proofErr w:type="spellStart"/>
            <w:r>
              <w:rPr>
                <w:color w:val="FFFFFF" w:themeColor="background1"/>
                <w:lang w:val="es-ES"/>
              </w:rPr>
              <w:t>pdv</w:t>
            </w:r>
            <w:proofErr w:type="spellEnd"/>
            <w:r>
              <w:rPr>
                <w:color w:val="FFFFFF" w:themeColor="background1"/>
                <w:lang w:val="es-ES"/>
              </w:rPr>
              <w:t>-a</w:t>
            </w:r>
          </w:p>
        </w:tc>
      </w:tr>
      <w:tr w:rsidR="000C69DA" w:rsidRPr="00205A06" w14:paraId="2BAEE5D0" w14:textId="77777777" w:rsidTr="000C69DA">
        <w:trPr>
          <w:trHeight w:val="495"/>
        </w:trPr>
        <w:tc>
          <w:tcPr>
            <w:tcW w:w="831" w:type="dxa"/>
            <w:tcBorders>
              <w:top w:val="nil"/>
              <w:left w:val="single" w:sz="4" w:space="0" w:color="auto"/>
              <w:bottom w:val="single" w:sz="4" w:space="0" w:color="auto"/>
              <w:right w:val="single" w:sz="4" w:space="0" w:color="auto"/>
            </w:tcBorders>
            <w:noWrap/>
            <w:vAlign w:val="center"/>
            <w:hideMark/>
          </w:tcPr>
          <w:p w14:paraId="46C7356F" w14:textId="77777777" w:rsidR="000C69DA" w:rsidRPr="00205A06" w:rsidRDefault="000C69DA" w:rsidP="00C95D2E">
            <w:r w:rsidRPr="00205A06">
              <w:t>1.</w:t>
            </w:r>
          </w:p>
        </w:tc>
        <w:tc>
          <w:tcPr>
            <w:tcW w:w="3214" w:type="dxa"/>
            <w:tcBorders>
              <w:top w:val="nil"/>
              <w:left w:val="nil"/>
              <w:bottom w:val="single" w:sz="4" w:space="0" w:color="auto"/>
              <w:right w:val="single" w:sz="4" w:space="0" w:color="auto"/>
            </w:tcBorders>
            <w:noWrap/>
            <w:vAlign w:val="center"/>
            <w:hideMark/>
          </w:tcPr>
          <w:p w14:paraId="6359B43F" w14:textId="77777777" w:rsidR="000C69DA" w:rsidRPr="00205A06" w:rsidRDefault="000C69DA" w:rsidP="00C95D2E">
            <w:r w:rsidRPr="00205A06">
              <w:t>Iznošenje komunalnog otpada-domaćinstva</w:t>
            </w:r>
          </w:p>
        </w:tc>
        <w:tc>
          <w:tcPr>
            <w:tcW w:w="2117" w:type="dxa"/>
            <w:tcBorders>
              <w:top w:val="nil"/>
              <w:left w:val="nil"/>
              <w:bottom w:val="single" w:sz="4" w:space="0" w:color="auto"/>
              <w:right w:val="single" w:sz="4" w:space="0" w:color="auto"/>
            </w:tcBorders>
            <w:vAlign w:val="center"/>
            <w:hideMark/>
          </w:tcPr>
          <w:p w14:paraId="0364B553" w14:textId="77777777" w:rsidR="000C69DA" w:rsidRPr="00205A06" w:rsidRDefault="000C69DA" w:rsidP="00C95D2E">
            <w:r w:rsidRPr="00205A06">
              <w:t>član (mesečno)</w:t>
            </w:r>
          </w:p>
        </w:tc>
        <w:tc>
          <w:tcPr>
            <w:tcW w:w="1058" w:type="dxa"/>
            <w:tcBorders>
              <w:top w:val="nil"/>
              <w:left w:val="nil"/>
              <w:bottom w:val="single" w:sz="4" w:space="0" w:color="auto"/>
              <w:right w:val="single" w:sz="4" w:space="0" w:color="auto"/>
            </w:tcBorders>
            <w:vAlign w:val="center"/>
            <w:hideMark/>
          </w:tcPr>
          <w:p w14:paraId="498CDBDC" w14:textId="77777777" w:rsidR="000C69DA" w:rsidRDefault="000C69DA" w:rsidP="00C95D2E"/>
          <w:p w14:paraId="3BDB754B" w14:textId="77777777" w:rsidR="000C69DA" w:rsidRPr="00205A06" w:rsidRDefault="000C69DA" w:rsidP="00C95D2E">
            <w:r w:rsidRPr="00205A06">
              <w:t>200,00</w:t>
            </w:r>
          </w:p>
        </w:tc>
        <w:tc>
          <w:tcPr>
            <w:tcW w:w="443" w:type="dxa"/>
            <w:tcBorders>
              <w:top w:val="nil"/>
              <w:left w:val="nil"/>
              <w:bottom w:val="single" w:sz="4" w:space="0" w:color="auto"/>
              <w:right w:val="nil"/>
            </w:tcBorders>
          </w:tcPr>
          <w:p w14:paraId="6D2F8713" w14:textId="77777777" w:rsidR="000C69DA" w:rsidRPr="00205A06" w:rsidRDefault="000C69DA" w:rsidP="00C95D2E"/>
        </w:tc>
        <w:tc>
          <w:tcPr>
            <w:tcW w:w="1191" w:type="dxa"/>
            <w:tcBorders>
              <w:top w:val="nil"/>
              <w:left w:val="nil"/>
              <w:bottom w:val="single" w:sz="4" w:space="0" w:color="auto"/>
              <w:right w:val="single" w:sz="4" w:space="0" w:color="auto"/>
            </w:tcBorders>
          </w:tcPr>
          <w:p w14:paraId="535DD305" w14:textId="77777777" w:rsidR="000C69DA" w:rsidRPr="003401B5" w:rsidRDefault="000C69DA" w:rsidP="00C95D2E">
            <w:pPr>
              <w:rPr>
                <w:b/>
                <w:bCs/>
              </w:rPr>
            </w:pPr>
          </w:p>
          <w:p w14:paraId="51754F0A" w14:textId="70463E59" w:rsidR="000C69DA" w:rsidRPr="003401B5" w:rsidRDefault="000C69DA" w:rsidP="00C95D2E">
            <w:pPr>
              <w:rPr>
                <w:b/>
                <w:bCs/>
              </w:rPr>
            </w:pPr>
            <w:r w:rsidRPr="003401B5">
              <w:rPr>
                <w:b/>
                <w:bCs/>
              </w:rPr>
              <w:t>2</w:t>
            </w:r>
            <w:r w:rsidR="00157E54">
              <w:rPr>
                <w:b/>
                <w:bCs/>
              </w:rPr>
              <w:t>16,2</w:t>
            </w:r>
          </w:p>
        </w:tc>
      </w:tr>
      <w:tr w:rsidR="000C69DA" w:rsidRPr="00205A06" w14:paraId="5928A42E" w14:textId="77777777" w:rsidTr="000C69DA">
        <w:trPr>
          <w:trHeight w:val="259"/>
        </w:trPr>
        <w:tc>
          <w:tcPr>
            <w:tcW w:w="831" w:type="dxa"/>
            <w:tcBorders>
              <w:top w:val="nil"/>
              <w:left w:val="single" w:sz="4" w:space="0" w:color="auto"/>
              <w:bottom w:val="single" w:sz="4" w:space="0" w:color="auto"/>
              <w:right w:val="single" w:sz="4" w:space="0" w:color="auto"/>
            </w:tcBorders>
            <w:noWrap/>
            <w:vAlign w:val="center"/>
            <w:hideMark/>
          </w:tcPr>
          <w:p w14:paraId="6FB336B3" w14:textId="77777777" w:rsidR="000C69DA" w:rsidRPr="00205A06" w:rsidRDefault="000C69DA" w:rsidP="00C95D2E">
            <w:r w:rsidRPr="00205A06">
              <w:t>2.</w:t>
            </w:r>
          </w:p>
        </w:tc>
        <w:tc>
          <w:tcPr>
            <w:tcW w:w="3214" w:type="dxa"/>
            <w:tcBorders>
              <w:top w:val="nil"/>
              <w:left w:val="nil"/>
              <w:bottom w:val="single" w:sz="4" w:space="0" w:color="auto"/>
              <w:right w:val="single" w:sz="4" w:space="0" w:color="auto"/>
            </w:tcBorders>
            <w:noWrap/>
            <w:vAlign w:val="center"/>
            <w:hideMark/>
          </w:tcPr>
          <w:p w14:paraId="49465E93" w14:textId="77777777" w:rsidR="000C69DA" w:rsidRPr="00205A06" w:rsidRDefault="000C69DA" w:rsidP="00C95D2E">
            <w:r w:rsidRPr="00205A06">
              <w:t>Iznošenje komunalnog otpada-socijalna kategorija</w:t>
            </w:r>
          </w:p>
        </w:tc>
        <w:tc>
          <w:tcPr>
            <w:tcW w:w="2117" w:type="dxa"/>
            <w:tcBorders>
              <w:top w:val="nil"/>
              <w:left w:val="nil"/>
              <w:bottom w:val="single" w:sz="4" w:space="0" w:color="auto"/>
              <w:right w:val="single" w:sz="4" w:space="0" w:color="auto"/>
            </w:tcBorders>
            <w:vAlign w:val="center"/>
            <w:hideMark/>
          </w:tcPr>
          <w:p w14:paraId="2BA6F676" w14:textId="77777777" w:rsidR="000C69DA" w:rsidRPr="00205A06" w:rsidRDefault="000C69DA" w:rsidP="00C95D2E">
            <w:r w:rsidRPr="00205A06">
              <w:t>član (mesečno)</w:t>
            </w:r>
          </w:p>
        </w:tc>
        <w:tc>
          <w:tcPr>
            <w:tcW w:w="1058" w:type="dxa"/>
            <w:tcBorders>
              <w:top w:val="nil"/>
              <w:left w:val="nil"/>
              <w:bottom w:val="single" w:sz="4" w:space="0" w:color="auto"/>
              <w:right w:val="single" w:sz="4" w:space="0" w:color="auto"/>
            </w:tcBorders>
            <w:vAlign w:val="center"/>
            <w:hideMark/>
          </w:tcPr>
          <w:p w14:paraId="3F49C42A" w14:textId="77777777" w:rsidR="000C69DA" w:rsidRPr="00205A06" w:rsidRDefault="000C69DA" w:rsidP="00C95D2E">
            <w:r w:rsidRPr="00205A06">
              <w:t>120,00</w:t>
            </w:r>
          </w:p>
        </w:tc>
        <w:tc>
          <w:tcPr>
            <w:tcW w:w="443" w:type="dxa"/>
            <w:tcBorders>
              <w:top w:val="nil"/>
              <w:left w:val="nil"/>
              <w:bottom w:val="single" w:sz="4" w:space="0" w:color="auto"/>
              <w:right w:val="nil"/>
            </w:tcBorders>
          </w:tcPr>
          <w:p w14:paraId="0BF75B0C" w14:textId="77777777" w:rsidR="000C69DA" w:rsidRPr="00205A06" w:rsidRDefault="000C69DA" w:rsidP="00C95D2E"/>
        </w:tc>
        <w:tc>
          <w:tcPr>
            <w:tcW w:w="1191" w:type="dxa"/>
            <w:tcBorders>
              <w:top w:val="nil"/>
              <w:left w:val="nil"/>
              <w:bottom w:val="single" w:sz="4" w:space="0" w:color="auto"/>
              <w:right w:val="single" w:sz="4" w:space="0" w:color="auto"/>
            </w:tcBorders>
          </w:tcPr>
          <w:p w14:paraId="2B6CA265" w14:textId="77777777" w:rsidR="000C69DA" w:rsidRDefault="000C69DA" w:rsidP="00C95D2E">
            <w:pPr>
              <w:rPr>
                <w:b/>
                <w:bCs/>
              </w:rPr>
            </w:pPr>
          </w:p>
          <w:p w14:paraId="019EB7AA" w14:textId="77777777" w:rsidR="000C69DA" w:rsidRPr="003401B5" w:rsidRDefault="000C69DA" w:rsidP="00C95D2E">
            <w:pPr>
              <w:rPr>
                <w:b/>
                <w:bCs/>
              </w:rPr>
            </w:pPr>
            <w:r w:rsidRPr="00205A06">
              <w:rPr>
                <w:b/>
                <w:bCs/>
              </w:rPr>
              <w:t>120,00</w:t>
            </w:r>
          </w:p>
        </w:tc>
      </w:tr>
    </w:tbl>
    <w:p w14:paraId="072F5BEB" w14:textId="77777777" w:rsidR="005312EA" w:rsidRDefault="005312EA" w:rsidP="005312EA">
      <w:pPr>
        <w:rPr>
          <w:b/>
          <w:bCs/>
        </w:rPr>
      </w:pPr>
    </w:p>
    <w:p w14:paraId="3EE60CBB" w14:textId="77777777" w:rsidR="005312EA" w:rsidRPr="00205A06" w:rsidRDefault="005312EA" w:rsidP="005312EA">
      <w:pPr>
        <w:rPr>
          <w:b/>
          <w:bCs/>
        </w:rPr>
      </w:pPr>
      <w:r w:rsidRPr="00205A06">
        <w:rPr>
          <w:b/>
          <w:bCs/>
        </w:rPr>
        <w:t xml:space="preserve">PRVANA LICA </w:t>
      </w:r>
    </w:p>
    <w:tbl>
      <w:tblPr>
        <w:tblW w:w="8640" w:type="dxa"/>
        <w:tblInd w:w="-5" w:type="dxa"/>
        <w:tblLook w:val="04A0" w:firstRow="1" w:lastRow="0" w:firstColumn="1" w:lastColumn="0" w:noHBand="0" w:noVBand="1"/>
      </w:tblPr>
      <w:tblGrid>
        <w:gridCol w:w="832"/>
        <w:gridCol w:w="3218"/>
        <w:gridCol w:w="2070"/>
        <w:gridCol w:w="1260"/>
        <w:gridCol w:w="1260"/>
      </w:tblGrid>
      <w:tr w:rsidR="000C69DA" w:rsidRPr="00034F68" w14:paraId="0BD5DBD5" w14:textId="77777777" w:rsidTr="000C69DA">
        <w:trPr>
          <w:trHeight w:val="572"/>
        </w:trPr>
        <w:tc>
          <w:tcPr>
            <w:tcW w:w="832" w:type="dxa"/>
            <w:tcBorders>
              <w:top w:val="single" w:sz="4" w:space="0" w:color="auto"/>
              <w:left w:val="single" w:sz="4" w:space="0" w:color="auto"/>
              <w:bottom w:val="single" w:sz="4" w:space="0" w:color="auto"/>
              <w:right w:val="single" w:sz="4" w:space="0" w:color="auto"/>
            </w:tcBorders>
            <w:shd w:val="clear" w:color="auto" w:fill="305496"/>
            <w:noWrap/>
            <w:vAlign w:val="center"/>
            <w:hideMark/>
          </w:tcPr>
          <w:p w14:paraId="1A832AEB" w14:textId="77777777" w:rsidR="000C69DA" w:rsidRPr="00205A06" w:rsidRDefault="000C69DA" w:rsidP="00C95D2E">
            <w:pPr>
              <w:rPr>
                <w:color w:val="FFFFFF" w:themeColor="background1"/>
              </w:rPr>
            </w:pPr>
            <w:r w:rsidRPr="00205A06">
              <w:rPr>
                <w:color w:val="FFFFFF" w:themeColor="background1"/>
              </w:rPr>
              <w:t>red.br.</w:t>
            </w:r>
          </w:p>
        </w:tc>
        <w:tc>
          <w:tcPr>
            <w:tcW w:w="3218" w:type="dxa"/>
            <w:tcBorders>
              <w:top w:val="single" w:sz="4" w:space="0" w:color="auto"/>
              <w:left w:val="nil"/>
              <w:bottom w:val="single" w:sz="4" w:space="0" w:color="auto"/>
              <w:right w:val="single" w:sz="4" w:space="0" w:color="auto"/>
            </w:tcBorders>
            <w:shd w:val="clear" w:color="auto" w:fill="305496"/>
            <w:noWrap/>
            <w:vAlign w:val="center"/>
            <w:hideMark/>
          </w:tcPr>
          <w:p w14:paraId="351229B3" w14:textId="77777777" w:rsidR="000C69DA" w:rsidRPr="00205A06" w:rsidRDefault="000C69DA" w:rsidP="00C95D2E">
            <w:pPr>
              <w:rPr>
                <w:color w:val="FFFFFF" w:themeColor="background1"/>
              </w:rPr>
            </w:pPr>
            <w:r w:rsidRPr="00205A06">
              <w:rPr>
                <w:color w:val="FFFFFF" w:themeColor="background1"/>
              </w:rPr>
              <w:t>Naziv usluge</w:t>
            </w:r>
          </w:p>
        </w:tc>
        <w:tc>
          <w:tcPr>
            <w:tcW w:w="2070" w:type="dxa"/>
            <w:tcBorders>
              <w:top w:val="single" w:sz="4" w:space="0" w:color="auto"/>
              <w:left w:val="nil"/>
              <w:bottom w:val="single" w:sz="4" w:space="0" w:color="auto"/>
              <w:right w:val="single" w:sz="4" w:space="0" w:color="auto"/>
            </w:tcBorders>
            <w:shd w:val="clear" w:color="auto" w:fill="305496"/>
            <w:noWrap/>
            <w:vAlign w:val="center"/>
            <w:hideMark/>
          </w:tcPr>
          <w:p w14:paraId="14D697F0" w14:textId="77777777" w:rsidR="000C69DA" w:rsidRPr="00205A06" w:rsidRDefault="000C69DA" w:rsidP="00C95D2E">
            <w:pPr>
              <w:rPr>
                <w:color w:val="FFFFFF" w:themeColor="background1"/>
              </w:rPr>
            </w:pPr>
            <w:r w:rsidRPr="00205A06">
              <w:rPr>
                <w:color w:val="FFFFFF" w:themeColor="background1"/>
              </w:rPr>
              <w:t>jed.</w:t>
            </w:r>
          </w:p>
        </w:tc>
        <w:tc>
          <w:tcPr>
            <w:tcW w:w="1260" w:type="dxa"/>
            <w:tcBorders>
              <w:top w:val="single" w:sz="4" w:space="0" w:color="auto"/>
              <w:left w:val="nil"/>
              <w:bottom w:val="single" w:sz="4" w:space="0" w:color="auto"/>
              <w:right w:val="single" w:sz="4" w:space="0" w:color="auto"/>
            </w:tcBorders>
            <w:shd w:val="clear" w:color="auto" w:fill="305496"/>
            <w:vAlign w:val="center"/>
            <w:hideMark/>
          </w:tcPr>
          <w:p w14:paraId="078F98D9" w14:textId="072EF04F" w:rsidR="000C69DA" w:rsidRPr="00205A06" w:rsidRDefault="000C69DA" w:rsidP="00C95D2E">
            <w:pPr>
              <w:rPr>
                <w:color w:val="FFFFFF" w:themeColor="background1"/>
                <w:lang w:val="es-ES"/>
              </w:rPr>
            </w:pPr>
            <w:r w:rsidRPr="00205A06">
              <w:rPr>
                <w:color w:val="FFFFFF" w:themeColor="background1"/>
                <w:lang w:val="es-ES"/>
              </w:rPr>
              <w:t xml:space="preserve">RSD cena </w:t>
            </w:r>
            <w:proofErr w:type="spellStart"/>
            <w:r w:rsidRPr="00205A06">
              <w:rPr>
                <w:color w:val="FFFFFF" w:themeColor="background1"/>
                <w:lang w:val="es-ES"/>
              </w:rPr>
              <w:t>bez</w:t>
            </w:r>
            <w:proofErr w:type="spellEnd"/>
            <w:r w:rsidRPr="00205A06">
              <w:rPr>
                <w:color w:val="FFFFFF" w:themeColor="background1"/>
                <w:lang w:val="es-ES"/>
              </w:rPr>
              <w:t xml:space="preserve"> </w:t>
            </w:r>
            <w:proofErr w:type="spellStart"/>
            <w:r w:rsidRPr="00205A06">
              <w:rPr>
                <w:color w:val="FFFFFF" w:themeColor="background1"/>
                <w:lang w:val="es-ES"/>
              </w:rPr>
              <w:t>pdv</w:t>
            </w:r>
            <w:proofErr w:type="spellEnd"/>
            <w:r w:rsidRPr="00205A06">
              <w:rPr>
                <w:color w:val="FFFFFF" w:themeColor="background1"/>
                <w:lang w:val="es-ES"/>
              </w:rPr>
              <w:t xml:space="preserve">-a </w:t>
            </w:r>
          </w:p>
        </w:tc>
        <w:tc>
          <w:tcPr>
            <w:tcW w:w="1260" w:type="dxa"/>
            <w:tcBorders>
              <w:top w:val="single" w:sz="4" w:space="0" w:color="auto"/>
              <w:left w:val="nil"/>
              <w:bottom w:val="single" w:sz="4" w:space="0" w:color="auto"/>
              <w:right w:val="single" w:sz="4" w:space="0" w:color="auto"/>
            </w:tcBorders>
            <w:shd w:val="clear" w:color="auto" w:fill="305496"/>
          </w:tcPr>
          <w:p w14:paraId="2AE77B53" w14:textId="1C059BDC" w:rsidR="000C69DA" w:rsidRPr="00205A06" w:rsidRDefault="000C69DA" w:rsidP="00C95D2E">
            <w:pPr>
              <w:rPr>
                <w:color w:val="FFFFFF" w:themeColor="background1"/>
                <w:lang w:val="es-ES"/>
              </w:rPr>
            </w:pPr>
            <w:r w:rsidRPr="00205A06">
              <w:rPr>
                <w:color w:val="FFFFFF" w:themeColor="background1"/>
                <w:lang w:val="es-ES"/>
              </w:rPr>
              <w:t xml:space="preserve">RSD nova cena </w:t>
            </w:r>
            <w:proofErr w:type="spellStart"/>
            <w:r>
              <w:rPr>
                <w:color w:val="FFFFFF" w:themeColor="background1"/>
                <w:lang w:val="es-ES"/>
              </w:rPr>
              <w:t>bez</w:t>
            </w:r>
            <w:proofErr w:type="spellEnd"/>
            <w:r>
              <w:rPr>
                <w:color w:val="FFFFFF" w:themeColor="background1"/>
                <w:lang w:val="es-ES"/>
              </w:rPr>
              <w:t xml:space="preserve"> </w:t>
            </w:r>
            <w:proofErr w:type="spellStart"/>
            <w:r>
              <w:rPr>
                <w:color w:val="FFFFFF" w:themeColor="background1"/>
                <w:lang w:val="es-ES"/>
              </w:rPr>
              <w:t>pdv</w:t>
            </w:r>
            <w:proofErr w:type="spellEnd"/>
            <w:r>
              <w:rPr>
                <w:color w:val="FFFFFF" w:themeColor="background1"/>
                <w:lang w:val="es-ES"/>
              </w:rPr>
              <w:t>-a</w:t>
            </w:r>
          </w:p>
        </w:tc>
      </w:tr>
      <w:tr w:rsidR="000C69DA" w:rsidRPr="00205A06" w14:paraId="13DD10F1" w14:textId="77777777" w:rsidTr="000C69DA">
        <w:trPr>
          <w:trHeight w:val="572"/>
        </w:trPr>
        <w:tc>
          <w:tcPr>
            <w:tcW w:w="832" w:type="dxa"/>
            <w:tcBorders>
              <w:top w:val="nil"/>
              <w:left w:val="single" w:sz="4" w:space="0" w:color="auto"/>
              <w:bottom w:val="single" w:sz="4" w:space="0" w:color="auto"/>
              <w:right w:val="single" w:sz="4" w:space="0" w:color="auto"/>
            </w:tcBorders>
            <w:noWrap/>
            <w:vAlign w:val="center"/>
            <w:hideMark/>
          </w:tcPr>
          <w:p w14:paraId="265F32F4" w14:textId="77777777" w:rsidR="000C69DA" w:rsidRPr="00205A06" w:rsidRDefault="000C69DA" w:rsidP="00C95D2E">
            <w:r w:rsidRPr="00205A06">
              <w:t>1.</w:t>
            </w:r>
          </w:p>
        </w:tc>
        <w:tc>
          <w:tcPr>
            <w:tcW w:w="3218" w:type="dxa"/>
            <w:tcBorders>
              <w:top w:val="nil"/>
              <w:left w:val="nil"/>
              <w:bottom w:val="single" w:sz="4" w:space="0" w:color="auto"/>
              <w:right w:val="single" w:sz="4" w:space="0" w:color="auto"/>
            </w:tcBorders>
            <w:hideMark/>
          </w:tcPr>
          <w:p w14:paraId="2D327370" w14:textId="77777777" w:rsidR="000C69DA" w:rsidRPr="00205A06" w:rsidRDefault="000C69DA" w:rsidP="00C95D2E">
            <w:r w:rsidRPr="00205A06">
              <w:t>Iznošenje komunalnog otpada za pravna lica do 50m2 i zadruge, udruženja,</w:t>
            </w:r>
          </w:p>
        </w:tc>
        <w:tc>
          <w:tcPr>
            <w:tcW w:w="2070" w:type="dxa"/>
            <w:tcBorders>
              <w:top w:val="nil"/>
              <w:left w:val="nil"/>
              <w:bottom w:val="single" w:sz="4" w:space="0" w:color="auto"/>
              <w:right w:val="single" w:sz="4" w:space="0" w:color="auto"/>
            </w:tcBorders>
            <w:vAlign w:val="center"/>
            <w:hideMark/>
          </w:tcPr>
          <w:p w14:paraId="03835D64" w14:textId="77777777" w:rsidR="000C69DA" w:rsidRPr="00205A06" w:rsidRDefault="000C69DA" w:rsidP="00C95D2E">
            <w:r w:rsidRPr="00205A06">
              <w:t>paušal</w:t>
            </w:r>
          </w:p>
        </w:tc>
        <w:tc>
          <w:tcPr>
            <w:tcW w:w="1260" w:type="dxa"/>
            <w:tcBorders>
              <w:top w:val="nil"/>
              <w:left w:val="nil"/>
              <w:bottom w:val="single" w:sz="4" w:space="0" w:color="auto"/>
              <w:right w:val="single" w:sz="4" w:space="0" w:color="auto"/>
            </w:tcBorders>
            <w:vAlign w:val="center"/>
            <w:hideMark/>
          </w:tcPr>
          <w:p w14:paraId="61A286AA" w14:textId="77777777" w:rsidR="000C69DA" w:rsidRDefault="000C69DA" w:rsidP="00C95D2E"/>
          <w:p w14:paraId="33151095" w14:textId="77777777" w:rsidR="000C69DA" w:rsidRPr="00205A06" w:rsidRDefault="000C69DA" w:rsidP="00C95D2E">
            <w:r w:rsidRPr="00205A06">
              <w:t>1.704,00</w:t>
            </w:r>
          </w:p>
        </w:tc>
        <w:tc>
          <w:tcPr>
            <w:tcW w:w="1260" w:type="dxa"/>
            <w:tcBorders>
              <w:top w:val="nil"/>
              <w:left w:val="nil"/>
              <w:bottom w:val="single" w:sz="4" w:space="0" w:color="auto"/>
              <w:right w:val="single" w:sz="4" w:space="0" w:color="auto"/>
            </w:tcBorders>
          </w:tcPr>
          <w:p w14:paraId="4A2A0263" w14:textId="77777777" w:rsidR="000C69DA" w:rsidRDefault="000C69DA" w:rsidP="00C95D2E">
            <w:pPr>
              <w:rPr>
                <w:b/>
                <w:bCs/>
              </w:rPr>
            </w:pPr>
          </w:p>
          <w:p w14:paraId="48AA7D23" w14:textId="2736F6CE" w:rsidR="000C69DA" w:rsidRPr="003401B5" w:rsidRDefault="000C69DA" w:rsidP="00C95D2E">
            <w:pPr>
              <w:rPr>
                <w:b/>
                <w:bCs/>
              </w:rPr>
            </w:pPr>
            <w:r w:rsidRPr="006C0008">
              <w:rPr>
                <w:b/>
                <w:bCs/>
              </w:rPr>
              <w:t>1</w:t>
            </w:r>
            <w:r>
              <w:rPr>
                <w:b/>
                <w:bCs/>
              </w:rPr>
              <w:t>.</w:t>
            </w:r>
            <w:r w:rsidR="00157E54">
              <w:rPr>
                <w:b/>
                <w:bCs/>
              </w:rPr>
              <w:t>842,0</w:t>
            </w:r>
            <w:r w:rsidRPr="006C0008">
              <w:rPr>
                <w:b/>
                <w:bCs/>
              </w:rPr>
              <w:t>2</w:t>
            </w:r>
          </w:p>
        </w:tc>
      </w:tr>
      <w:tr w:rsidR="000C69DA" w:rsidRPr="00205A06" w14:paraId="368B7E65" w14:textId="77777777" w:rsidTr="000C69DA">
        <w:trPr>
          <w:trHeight w:val="572"/>
        </w:trPr>
        <w:tc>
          <w:tcPr>
            <w:tcW w:w="832" w:type="dxa"/>
            <w:tcBorders>
              <w:top w:val="nil"/>
              <w:left w:val="single" w:sz="4" w:space="0" w:color="auto"/>
              <w:bottom w:val="single" w:sz="4" w:space="0" w:color="auto"/>
              <w:right w:val="single" w:sz="4" w:space="0" w:color="auto"/>
            </w:tcBorders>
            <w:noWrap/>
            <w:vAlign w:val="center"/>
            <w:hideMark/>
          </w:tcPr>
          <w:p w14:paraId="22DF9F15" w14:textId="77777777" w:rsidR="000C69DA" w:rsidRPr="00205A06" w:rsidRDefault="000C69DA" w:rsidP="00C95D2E">
            <w:r w:rsidRPr="00205A06">
              <w:t>1.</w:t>
            </w:r>
          </w:p>
        </w:tc>
        <w:tc>
          <w:tcPr>
            <w:tcW w:w="3218" w:type="dxa"/>
            <w:tcBorders>
              <w:top w:val="nil"/>
              <w:left w:val="nil"/>
              <w:bottom w:val="single" w:sz="4" w:space="0" w:color="auto"/>
              <w:right w:val="single" w:sz="4" w:space="0" w:color="auto"/>
            </w:tcBorders>
            <w:hideMark/>
          </w:tcPr>
          <w:p w14:paraId="77E69E93" w14:textId="7BFE3609" w:rsidR="000C69DA" w:rsidRPr="00205A06" w:rsidRDefault="000C69DA" w:rsidP="00C95D2E">
            <w:r w:rsidRPr="00205A06">
              <w:t xml:space="preserve">Iznošenje komunalnog otpada za pravna lica do </w:t>
            </w:r>
            <w:r>
              <w:t>35</w:t>
            </w:r>
            <w:r w:rsidRPr="00205A06">
              <w:t>m2 i zadruge, udruženja,</w:t>
            </w:r>
          </w:p>
        </w:tc>
        <w:tc>
          <w:tcPr>
            <w:tcW w:w="2070" w:type="dxa"/>
            <w:tcBorders>
              <w:top w:val="nil"/>
              <w:left w:val="nil"/>
              <w:bottom w:val="single" w:sz="4" w:space="0" w:color="auto"/>
              <w:right w:val="single" w:sz="4" w:space="0" w:color="auto"/>
            </w:tcBorders>
            <w:vAlign w:val="center"/>
            <w:hideMark/>
          </w:tcPr>
          <w:p w14:paraId="655E6536" w14:textId="77777777" w:rsidR="000C69DA" w:rsidRPr="00205A06" w:rsidRDefault="000C69DA" w:rsidP="00C95D2E">
            <w:r w:rsidRPr="00205A06">
              <w:t>paušal</w:t>
            </w:r>
          </w:p>
        </w:tc>
        <w:tc>
          <w:tcPr>
            <w:tcW w:w="1260" w:type="dxa"/>
            <w:tcBorders>
              <w:top w:val="nil"/>
              <w:left w:val="nil"/>
              <w:bottom w:val="single" w:sz="4" w:space="0" w:color="auto"/>
              <w:right w:val="single" w:sz="4" w:space="0" w:color="auto"/>
            </w:tcBorders>
            <w:vAlign w:val="center"/>
            <w:hideMark/>
          </w:tcPr>
          <w:p w14:paraId="715DB38A" w14:textId="77777777" w:rsidR="000C69DA" w:rsidRPr="00205A06" w:rsidRDefault="000C69DA" w:rsidP="00C95D2E">
            <w:r>
              <w:t>-</w:t>
            </w:r>
          </w:p>
        </w:tc>
        <w:tc>
          <w:tcPr>
            <w:tcW w:w="1260" w:type="dxa"/>
            <w:tcBorders>
              <w:top w:val="nil"/>
              <w:left w:val="nil"/>
              <w:bottom w:val="single" w:sz="4" w:space="0" w:color="auto"/>
              <w:right w:val="single" w:sz="4" w:space="0" w:color="auto"/>
            </w:tcBorders>
          </w:tcPr>
          <w:p w14:paraId="32BD96B1" w14:textId="77777777" w:rsidR="000C69DA" w:rsidRPr="003401B5" w:rsidRDefault="000C69DA" w:rsidP="00C95D2E">
            <w:pPr>
              <w:rPr>
                <w:b/>
                <w:bCs/>
              </w:rPr>
            </w:pPr>
          </w:p>
          <w:p w14:paraId="2E4ACAF6" w14:textId="0C11BC67" w:rsidR="000C69DA" w:rsidRPr="003401B5" w:rsidRDefault="000C69DA" w:rsidP="00C95D2E">
            <w:pPr>
              <w:rPr>
                <w:b/>
                <w:bCs/>
              </w:rPr>
            </w:pPr>
            <w:r w:rsidRPr="003401B5">
              <w:rPr>
                <w:b/>
                <w:bCs/>
              </w:rPr>
              <w:t>1.</w:t>
            </w:r>
            <w:r w:rsidR="00157E54">
              <w:rPr>
                <w:b/>
                <w:bCs/>
              </w:rPr>
              <w:t>300,00</w:t>
            </w:r>
          </w:p>
        </w:tc>
      </w:tr>
      <w:tr w:rsidR="000C69DA" w:rsidRPr="00205A06" w14:paraId="1B6BDBA9" w14:textId="77777777" w:rsidTr="000C69DA">
        <w:trPr>
          <w:trHeight w:val="450"/>
        </w:trPr>
        <w:tc>
          <w:tcPr>
            <w:tcW w:w="832" w:type="dxa"/>
            <w:tcBorders>
              <w:top w:val="nil"/>
              <w:left w:val="single" w:sz="4" w:space="0" w:color="auto"/>
              <w:bottom w:val="single" w:sz="4" w:space="0" w:color="auto"/>
              <w:right w:val="single" w:sz="4" w:space="0" w:color="auto"/>
            </w:tcBorders>
            <w:noWrap/>
            <w:vAlign w:val="center"/>
            <w:hideMark/>
          </w:tcPr>
          <w:p w14:paraId="207CC7A1" w14:textId="77777777" w:rsidR="000C69DA" w:rsidRPr="00205A06" w:rsidRDefault="000C69DA" w:rsidP="00C95D2E">
            <w:r w:rsidRPr="00205A06">
              <w:t>2.</w:t>
            </w:r>
          </w:p>
        </w:tc>
        <w:tc>
          <w:tcPr>
            <w:tcW w:w="3218" w:type="dxa"/>
            <w:tcBorders>
              <w:top w:val="nil"/>
              <w:left w:val="nil"/>
              <w:bottom w:val="single" w:sz="4" w:space="0" w:color="auto"/>
              <w:right w:val="single" w:sz="4" w:space="0" w:color="auto"/>
            </w:tcBorders>
            <w:hideMark/>
          </w:tcPr>
          <w:p w14:paraId="6E032448" w14:textId="77777777" w:rsidR="000C69DA" w:rsidRPr="0077092F" w:rsidRDefault="000C69DA" w:rsidP="00C95D2E">
            <w:proofErr w:type="spellStart"/>
            <w:r w:rsidRPr="00205A06">
              <w:rPr>
                <w:lang w:val="es-ES"/>
              </w:rPr>
              <w:t>Iznošenje</w:t>
            </w:r>
            <w:proofErr w:type="spellEnd"/>
            <w:r w:rsidRPr="00205A06">
              <w:rPr>
                <w:lang w:val="es-ES"/>
              </w:rPr>
              <w:t xml:space="preserve"> </w:t>
            </w:r>
            <w:proofErr w:type="spellStart"/>
            <w:r w:rsidRPr="00205A06">
              <w:rPr>
                <w:lang w:val="es-ES"/>
              </w:rPr>
              <w:t>komunalnog</w:t>
            </w:r>
            <w:proofErr w:type="spellEnd"/>
            <w:r w:rsidRPr="00205A06">
              <w:rPr>
                <w:lang w:val="es-ES"/>
              </w:rPr>
              <w:t xml:space="preserve"> </w:t>
            </w:r>
            <w:proofErr w:type="spellStart"/>
            <w:r w:rsidRPr="00205A06">
              <w:rPr>
                <w:lang w:val="es-ES"/>
              </w:rPr>
              <w:t>otpada</w:t>
            </w:r>
            <w:proofErr w:type="spellEnd"/>
            <w:r w:rsidRPr="00205A06">
              <w:rPr>
                <w:lang w:val="es-ES"/>
              </w:rPr>
              <w:t xml:space="preserve">- </w:t>
            </w:r>
            <w:proofErr w:type="spellStart"/>
            <w:r w:rsidRPr="00205A06">
              <w:rPr>
                <w:lang w:val="es-ES"/>
              </w:rPr>
              <w:t>pravna</w:t>
            </w:r>
            <w:proofErr w:type="spellEnd"/>
            <w:r w:rsidRPr="00205A06">
              <w:rPr>
                <w:lang w:val="es-ES"/>
              </w:rPr>
              <w:t xml:space="preserve"> lica </w:t>
            </w:r>
            <w:proofErr w:type="spellStart"/>
            <w:r w:rsidRPr="00205A06">
              <w:rPr>
                <w:lang w:val="es-ES"/>
              </w:rPr>
              <w:t>preko</w:t>
            </w:r>
            <w:proofErr w:type="spellEnd"/>
            <w:r w:rsidRPr="00205A06">
              <w:rPr>
                <w:lang w:val="es-ES"/>
              </w:rPr>
              <w:t xml:space="preserve"> 50m2</w:t>
            </w:r>
          </w:p>
        </w:tc>
        <w:tc>
          <w:tcPr>
            <w:tcW w:w="2070" w:type="dxa"/>
            <w:tcBorders>
              <w:top w:val="nil"/>
              <w:left w:val="nil"/>
              <w:bottom w:val="single" w:sz="4" w:space="0" w:color="auto"/>
              <w:right w:val="single" w:sz="4" w:space="0" w:color="auto"/>
            </w:tcBorders>
            <w:vAlign w:val="center"/>
            <w:hideMark/>
          </w:tcPr>
          <w:p w14:paraId="0993D239" w14:textId="77777777" w:rsidR="000C69DA" w:rsidRPr="00205A06" w:rsidRDefault="000C69DA" w:rsidP="00C95D2E">
            <w:r w:rsidRPr="00205A06">
              <w:t>m2</w:t>
            </w:r>
          </w:p>
        </w:tc>
        <w:tc>
          <w:tcPr>
            <w:tcW w:w="1260" w:type="dxa"/>
            <w:tcBorders>
              <w:top w:val="nil"/>
              <w:left w:val="nil"/>
              <w:bottom w:val="single" w:sz="4" w:space="0" w:color="auto"/>
              <w:right w:val="single" w:sz="4" w:space="0" w:color="auto"/>
            </w:tcBorders>
            <w:vAlign w:val="center"/>
            <w:hideMark/>
          </w:tcPr>
          <w:p w14:paraId="06F49620" w14:textId="77777777" w:rsidR="000C69DA" w:rsidRDefault="000C69DA" w:rsidP="00C95D2E"/>
          <w:p w14:paraId="702FECB0" w14:textId="77777777" w:rsidR="000C69DA" w:rsidRPr="00205A06" w:rsidRDefault="000C69DA" w:rsidP="00C95D2E">
            <w:r w:rsidRPr="00205A06">
              <w:t>40,00</w:t>
            </w:r>
          </w:p>
        </w:tc>
        <w:tc>
          <w:tcPr>
            <w:tcW w:w="1260" w:type="dxa"/>
            <w:tcBorders>
              <w:top w:val="nil"/>
              <w:left w:val="nil"/>
              <w:bottom w:val="single" w:sz="4" w:space="0" w:color="auto"/>
              <w:right w:val="single" w:sz="4" w:space="0" w:color="auto"/>
            </w:tcBorders>
          </w:tcPr>
          <w:p w14:paraId="79981C70" w14:textId="77777777" w:rsidR="000C69DA" w:rsidRPr="003401B5" w:rsidRDefault="000C69DA" w:rsidP="00C95D2E">
            <w:pPr>
              <w:rPr>
                <w:b/>
                <w:bCs/>
              </w:rPr>
            </w:pPr>
            <w:r w:rsidRPr="003401B5">
              <w:rPr>
                <w:b/>
                <w:bCs/>
              </w:rPr>
              <w:t xml:space="preserve">            </w:t>
            </w:r>
          </w:p>
          <w:p w14:paraId="5B87E24E" w14:textId="5E9F4235" w:rsidR="000C69DA" w:rsidRPr="003401B5" w:rsidRDefault="000C69DA" w:rsidP="00C95D2E">
            <w:pPr>
              <w:rPr>
                <w:b/>
                <w:bCs/>
              </w:rPr>
            </w:pPr>
            <w:r>
              <w:rPr>
                <w:b/>
                <w:bCs/>
              </w:rPr>
              <w:t>4</w:t>
            </w:r>
            <w:r w:rsidR="00157E54">
              <w:rPr>
                <w:b/>
                <w:bCs/>
              </w:rPr>
              <w:t>3</w:t>
            </w:r>
            <w:r>
              <w:rPr>
                <w:b/>
                <w:bCs/>
              </w:rPr>
              <w:t>,24</w:t>
            </w:r>
          </w:p>
        </w:tc>
      </w:tr>
    </w:tbl>
    <w:p w14:paraId="13D6A589" w14:textId="77777777" w:rsidR="005312EA" w:rsidRDefault="005312EA" w:rsidP="005312EA">
      <w:pPr>
        <w:rPr>
          <w:b/>
          <w:bCs/>
        </w:rPr>
      </w:pPr>
    </w:p>
    <w:p w14:paraId="66C73B33" w14:textId="77777777" w:rsidR="005312EA" w:rsidRDefault="005312EA" w:rsidP="005312EA">
      <w:pPr>
        <w:rPr>
          <w:b/>
          <w:bCs/>
        </w:rPr>
      </w:pPr>
    </w:p>
    <w:p w14:paraId="4B98D12C" w14:textId="77777777" w:rsidR="005312EA" w:rsidRDefault="005312EA" w:rsidP="005312EA">
      <w:pPr>
        <w:rPr>
          <w:b/>
          <w:bCs/>
        </w:rPr>
      </w:pPr>
    </w:p>
    <w:p w14:paraId="703D36F8" w14:textId="77777777" w:rsidR="005312EA" w:rsidRDefault="005312EA" w:rsidP="005312EA">
      <w:pPr>
        <w:rPr>
          <w:b/>
          <w:bCs/>
        </w:rPr>
      </w:pPr>
    </w:p>
    <w:p w14:paraId="06C05CB6" w14:textId="77777777" w:rsidR="005312EA" w:rsidRDefault="005312EA" w:rsidP="005312EA">
      <w:pPr>
        <w:rPr>
          <w:b/>
          <w:bCs/>
        </w:rPr>
      </w:pPr>
    </w:p>
    <w:p w14:paraId="5D1D43AE" w14:textId="77777777" w:rsidR="005312EA" w:rsidRDefault="005312EA" w:rsidP="005312EA">
      <w:pPr>
        <w:rPr>
          <w:b/>
          <w:bCs/>
        </w:rPr>
      </w:pPr>
    </w:p>
    <w:p w14:paraId="779A014C" w14:textId="77777777" w:rsidR="005312EA" w:rsidRDefault="005312EA" w:rsidP="005312EA">
      <w:pPr>
        <w:rPr>
          <w:b/>
          <w:bCs/>
        </w:rPr>
      </w:pPr>
    </w:p>
    <w:p w14:paraId="6CAF2E4E" w14:textId="77777777" w:rsidR="005312EA" w:rsidRDefault="005312EA" w:rsidP="005312EA">
      <w:pPr>
        <w:rPr>
          <w:b/>
          <w:bCs/>
        </w:rPr>
      </w:pPr>
    </w:p>
    <w:p w14:paraId="180E413A" w14:textId="77777777" w:rsidR="005312EA" w:rsidRDefault="005312EA" w:rsidP="005312EA">
      <w:pPr>
        <w:rPr>
          <w:b/>
          <w:bCs/>
        </w:rPr>
      </w:pPr>
    </w:p>
    <w:p w14:paraId="08FB31DE" w14:textId="77777777" w:rsidR="005312EA" w:rsidRDefault="005312EA" w:rsidP="005312EA">
      <w:pPr>
        <w:rPr>
          <w:b/>
          <w:bCs/>
        </w:rPr>
      </w:pPr>
    </w:p>
    <w:p w14:paraId="5EE3D84F" w14:textId="77777777" w:rsidR="005312EA" w:rsidRDefault="005312EA" w:rsidP="005312EA">
      <w:pPr>
        <w:rPr>
          <w:b/>
          <w:bCs/>
        </w:rPr>
      </w:pPr>
    </w:p>
    <w:p w14:paraId="00C357B3" w14:textId="77777777" w:rsidR="005312EA" w:rsidRDefault="005312EA" w:rsidP="005312EA">
      <w:pPr>
        <w:rPr>
          <w:b/>
          <w:bCs/>
        </w:rPr>
      </w:pPr>
    </w:p>
    <w:p w14:paraId="711CD22F" w14:textId="77777777" w:rsidR="000C69DA" w:rsidRDefault="000C69DA" w:rsidP="005312EA">
      <w:pPr>
        <w:rPr>
          <w:b/>
          <w:bCs/>
        </w:rPr>
      </w:pPr>
    </w:p>
    <w:p w14:paraId="102261BB" w14:textId="77777777" w:rsidR="005312EA" w:rsidRDefault="005312EA" w:rsidP="005312EA">
      <w:pPr>
        <w:rPr>
          <w:b/>
          <w:bCs/>
        </w:rPr>
      </w:pPr>
    </w:p>
    <w:p w14:paraId="6EB9DA2B" w14:textId="77777777" w:rsidR="005312EA" w:rsidRDefault="005312EA" w:rsidP="005312EA">
      <w:pPr>
        <w:rPr>
          <w:b/>
          <w:bCs/>
        </w:rPr>
      </w:pPr>
    </w:p>
    <w:p w14:paraId="1F5F4D4C" w14:textId="77777777" w:rsidR="005312EA" w:rsidRDefault="005312EA" w:rsidP="005312EA">
      <w:pPr>
        <w:rPr>
          <w:b/>
          <w:bCs/>
        </w:rPr>
      </w:pPr>
    </w:p>
    <w:p w14:paraId="77FAE13F" w14:textId="77777777" w:rsidR="005312EA" w:rsidRDefault="005312EA" w:rsidP="005312EA">
      <w:pPr>
        <w:rPr>
          <w:b/>
          <w:bCs/>
        </w:rPr>
      </w:pPr>
    </w:p>
    <w:p w14:paraId="1037CF93" w14:textId="77777777" w:rsidR="005312EA" w:rsidRDefault="005312EA" w:rsidP="005312EA">
      <w:pPr>
        <w:rPr>
          <w:b/>
          <w:bCs/>
        </w:rPr>
      </w:pPr>
    </w:p>
    <w:p w14:paraId="7F126226" w14:textId="77777777" w:rsidR="005312EA" w:rsidRDefault="005312EA" w:rsidP="005312EA">
      <w:pPr>
        <w:rPr>
          <w:b/>
          <w:bCs/>
        </w:rPr>
      </w:pPr>
    </w:p>
    <w:p w14:paraId="2BBF497A" w14:textId="77777777" w:rsidR="005312EA" w:rsidRDefault="005312EA" w:rsidP="005312EA">
      <w:pPr>
        <w:rPr>
          <w:b/>
          <w:bCs/>
        </w:rPr>
      </w:pPr>
    </w:p>
    <w:p w14:paraId="1B6739E2" w14:textId="77777777" w:rsidR="005312EA" w:rsidRDefault="005312EA" w:rsidP="005312EA">
      <w:pPr>
        <w:rPr>
          <w:b/>
          <w:bCs/>
        </w:rPr>
      </w:pPr>
    </w:p>
    <w:p w14:paraId="25C2A148" w14:textId="77777777" w:rsidR="005312EA" w:rsidRDefault="005312EA" w:rsidP="005312EA">
      <w:pPr>
        <w:rPr>
          <w:b/>
          <w:bCs/>
        </w:rPr>
      </w:pPr>
    </w:p>
    <w:p w14:paraId="2C9922A8" w14:textId="29FB485F" w:rsidR="005312EA" w:rsidRPr="00205A06" w:rsidRDefault="005312EA" w:rsidP="005312EA">
      <w:pPr>
        <w:rPr>
          <w:b/>
          <w:bCs/>
        </w:rPr>
      </w:pPr>
      <w:r w:rsidRPr="00205A06">
        <w:rPr>
          <w:b/>
          <w:bCs/>
        </w:rPr>
        <w:lastRenderedPageBreak/>
        <w:t xml:space="preserve">PRILOG </w:t>
      </w:r>
      <w:r>
        <w:rPr>
          <w:b/>
          <w:bCs/>
        </w:rPr>
        <w:t xml:space="preserve">2 </w:t>
      </w:r>
      <w:r w:rsidRPr="00205A06">
        <w:rPr>
          <w:b/>
          <w:bCs/>
        </w:rPr>
        <w:t>UGOVORA – CENOVNIK ZA 202</w:t>
      </w:r>
      <w:r>
        <w:rPr>
          <w:b/>
          <w:bCs/>
        </w:rPr>
        <w:t>5</w:t>
      </w:r>
      <w:r w:rsidRPr="00205A06">
        <w:rPr>
          <w:b/>
          <w:bCs/>
        </w:rPr>
        <w:t>. GODINU – OPŠTINA LAPOVO</w:t>
      </w:r>
    </w:p>
    <w:p w14:paraId="09D34F1E" w14:textId="77777777" w:rsidR="005312EA" w:rsidRPr="00205A06" w:rsidRDefault="005312EA" w:rsidP="005312EA">
      <w:pPr>
        <w:rPr>
          <w:b/>
          <w:bCs/>
        </w:rPr>
      </w:pPr>
      <w:r w:rsidRPr="00205A06">
        <w:rPr>
          <w:b/>
          <w:bCs/>
        </w:rPr>
        <w:t xml:space="preserve">DODATNE USLUGE - POJEDINAČNO UGOVORENE USLUGE SA PRAVNIM LICIMA </w:t>
      </w:r>
    </w:p>
    <w:tbl>
      <w:tblPr>
        <w:tblW w:w="10636" w:type="dxa"/>
        <w:tblLook w:val="04A0" w:firstRow="1" w:lastRow="0" w:firstColumn="1" w:lastColumn="0" w:noHBand="0" w:noVBand="1"/>
      </w:tblPr>
      <w:tblGrid>
        <w:gridCol w:w="824"/>
        <w:gridCol w:w="4113"/>
        <w:gridCol w:w="1023"/>
        <w:gridCol w:w="1055"/>
        <w:gridCol w:w="1203"/>
        <w:gridCol w:w="1219"/>
        <w:gridCol w:w="1219"/>
      </w:tblGrid>
      <w:tr w:rsidR="005312EA" w:rsidRPr="0029685E" w14:paraId="19AF9309" w14:textId="77777777" w:rsidTr="00C95D2E">
        <w:trPr>
          <w:trHeight w:val="519"/>
        </w:trPr>
        <w:tc>
          <w:tcPr>
            <w:tcW w:w="824" w:type="dxa"/>
            <w:tcBorders>
              <w:top w:val="single" w:sz="4" w:space="0" w:color="auto"/>
              <w:left w:val="single" w:sz="4" w:space="0" w:color="auto"/>
              <w:bottom w:val="single" w:sz="4" w:space="0" w:color="auto"/>
              <w:right w:val="single" w:sz="4" w:space="0" w:color="auto"/>
            </w:tcBorders>
            <w:shd w:val="clear" w:color="auto" w:fill="305496"/>
            <w:noWrap/>
            <w:hideMark/>
          </w:tcPr>
          <w:p w14:paraId="0A8EDB56" w14:textId="77777777" w:rsidR="005312EA" w:rsidRPr="00205A06" w:rsidRDefault="005312EA" w:rsidP="00C95D2E">
            <w:r w:rsidRPr="00B21E34">
              <w:t>red.br.</w:t>
            </w:r>
          </w:p>
        </w:tc>
        <w:tc>
          <w:tcPr>
            <w:tcW w:w="4113" w:type="dxa"/>
            <w:tcBorders>
              <w:top w:val="single" w:sz="4" w:space="0" w:color="auto"/>
              <w:left w:val="nil"/>
              <w:bottom w:val="single" w:sz="4" w:space="0" w:color="auto"/>
              <w:right w:val="single" w:sz="4" w:space="0" w:color="auto"/>
            </w:tcBorders>
            <w:shd w:val="clear" w:color="auto" w:fill="305496"/>
            <w:noWrap/>
            <w:hideMark/>
          </w:tcPr>
          <w:p w14:paraId="258136E1" w14:textId="77777777" w:rsidR="005312EA" w:rsidRPr="00205A06" w:rsidRDefault="005312EA" w:rsidP="00C95D2E">
            <w:r w:rsidRPr="00B21E34">
              <w:t>Naziv usluge</w:t>
            </w:r>
          </w:p>
        </w:tc>
        <w:tc>
          <w:tcPr>
            <w:tcW w:w="1023" w:type="dxa"/>
            <w:tcBorders>
              <w:top w:val="single" w:sz="4" w:space="0" w:color="auto"/>
              <w:left w:val="nil"/>
              <w:bottom w:val="single" w:sz="4" w:space="0" w:color="auto"/>
              <w:right w:val="single" w:sz="4" w:space="0" w:color="auto"/>
            </w:tcBorders>
            <w:shd w:val="clear" w:color="auto" w:fill="305496"/>
            <w:noWrap/>
            <w:hideMark/>
          </w:tcPr>
          <w:p w14:paraId="692317E6" w14:textId="77777777" w:rsidR="005312EA" w:rsidRPr="00205A06" w:rsidRDefault="005312EA" w:rsidP="00C95D2E">
            <w:r w:rsidRPr="00B21E34">
              <w:t>jed.</w:t>
            </w:r>
          </w:p>
        </w:tc>
        <w:tc>
          <w:tcPr>
            <w:tcW w:w="1055" w:type="dxa"/>
            <w:tcBorders>
              <w:top w:val="single" w:sz="4" w:space="0" w:color="auto"/>
              <w:left w:val="nil"/>
              <w:bottom w:val="single" w:sz="4" w:space="0" w:color="auto"/>
              <w:right w:val="nil"/>
            </w:tcBorders>
            <w:shd w:val="clear" w:color="auto" w:fill="305496"/>
            <w:hideMark/>
          </w:tcPr>
          <w:p w14:paraId="0258BB4F" w14:textId="77777777" w:rsidR="005312EA" w:rsidRPr="00205A06" w:rsidRDefault="005312EA" w:rsidP="00C95D2E">
            <w:pPr>
              <w:rPr>
                <w:lang w:val="es-ES"/>
              </w:rPr>
            </w:pPr>
            <w:proofErr w:type="gramStart"/>
            <w:r w:rsidRPr="003401B5">
              <w:rPr>
                <w:lang w:val="es-ES"/>
              </w:rPr>
              <w:t>RSD  cena</w:t>
            </w:r>
            <w:proofErr w:type="gramEnd"/>
            <w:r w:rsidRPr="003401B5">
              <w:rPr>
                <w:lang w:val="es-ES"/>
              </w:rPr>
              <w:t xml:space="preserve"> </w:t>
            </w:r>
            <w:proofErr w:type="spellStart"/>
            <w:r w:rsidRPr="003401B5">
              <w:rPr>
                <w:lang w:val="es-ES"/>
              </w:rPr>
              <w:t>bez</w:t>
            </w:r>
            <w:proofErr w:type="spellEnd"/>
            <w:r w:rsidRPr="003401B5">
              <w:rPr>
                <w:lang w:val="es-ES"/>
              </w:rPr>
              <w:t xml:space="preserve"> </w:t>
            </w:r>
            <w:proofErr w:type="spellStart"/>
            <w:r w:rsidRPr="003401B5">
              <w:rPr>
                <w:lang w:val="es-ES"/>
              </w:rPr>
              <w:t>pdv</w:t>
            </w:r>
            <w:proofErr w:type="spellEnd"/>
            <w:r w:rsidRPr="003401B5">
              <w:rPr>
                <w:lang w:val="es-ES"/>
              </w:rPr>
              <w:t xml:space="preserve">-a </w:t>
            </w:r>
          </w:p>
        </w:tc>
        <w:tc>
          <w:tcPr>
            <w:tcW w:w="1203" w:type="dxa"/>
            <w:noWrap/>
            <w:hideMark/>
          </w:tcPr>
          <w:p w14:paraId="211676A1" w14:textId="77777777" w:rsidR="005312EA" w:rsidRPr="00205A06" w:rsidRDefault="005312EA" w:rsidP="00C95D2E">
            <w:pPr>
              <w:rPr>
                <w:lang w:val="es-ES"/>
              </w:rPr>
            </w:pPr>
          </w:p>
        </w:tc>
        <w:tc>
          <w:tcPr>
            <w:tcW w:w="1208" w:type="dxa"/>
            <w:noWrap/>
            <w:hideMark/>
          </w:tcPr>
          <w:p w14:paraId="75D1C96A" w14:textId="77777777" w:rsidR="005312EA" w:rsidRPr="00205A06" w:rsidRDefault="005312EA" w:rsidP="00C95D2E">
            <w:pPr>
              <w:rPr>
                <w:lang w:val="es-ES"/>
              </w:rPr>
            </w:pPr>
          </w:p>
        </w:tc>
        <w:tc>
          <w:tcPr>
            <w:tcW w:w="1208" w:type="dxa"/>
            <w:noWrap/>
            <w:hideMark/>
          </w:tcPr>
          <w:p w14:paraId="0C28F0EE" w14:textId="77777777" w:rsidR="005312EA" w:rsidRPr="00205A06" w:rsidRDefault="005312EA" w:rsidP="00C95D2E">
            <w:pPr>
              <w:rPr>
                <w:lang w:val="es-ES"/>
              </w:rPr>
            </w:pPr>
          </w:p>
        </w:tc>
      </w:tr>
      <w:tr w:rsidR="005312EA" w:rsidRPr="00205A06" w14:paraId="6559AD0A" w14:textId="77777777" w:rsidTr="00C95D2E">
        <w:trPr>
          <w:trHeight w:val="519"/>
        </w:trPr>
        <w:tc>
          <w:tcPr>
            <w:tcW w:w="824" w:type="dxa"/>
            <w:tcBorders>
              <w:top w:val="nil"/>
              <w:left w:val="single" w:sz="4" w:space="0" w:color="auto"/>
              <w:bottom w:val="single" w:sz="4" w:space="0" w:color="auto"/>
              <w:right w:val="single" w:sz="4" w:space="0" w:color="auto"/>
            </w:tcBorders>
            <w:hideMark/>
          </w:tcPr>
          <w:p w14:paraId="7FA87910" w14:textId="77777777" w:rsidR="005312EA" w:rsidRPr="00205A06" w:rsidRDefault="005312EA" w:rsidP="00C95D2E">
            <w:r w:rsidRPr="00B21E34">
              <w:t>1.</w:t>
            </w:r>
          </w:p>
        </w:tc>
        <w:tc>
          <w:tcPr>
            <w:tcW w:w="4113" w:type="dxa"/>
            <w:tcBorders>
              <w:top w:val="nil"/>
              <w:left w:val="nil"/>
              <w:bottom w:val="single" w:sz="4" w:space="0" w:color="auto"/>
              <w:right w:val="single" w:sz="4" w:space="0" w:color="auto"/>
            </w:tcBorders>
            <w:hideMark/>
          </w:tcPr>
          <w:p w14:paraId="7D394EDF" w14:textId="77777777" w:rsidR="005312EA" w:rsidRPr="00205A06" w:rsidRDefault="005312EA" w:rsidP="00C95D2E">
            <w:r w:rsidRPr="003401B5">
              <w:t>Iznošenje komunalnog otpada-pojedinačni ugovori</w:t>
            </w:r>
          </w:p>
        </w:tc>
        <w:tc>
          <w:tcPr>
            <w:tcW w:w="1023" w:type="dxa"/>
            <w:tcBorders>
              <w:top w:val="nil"/>
              <w:left w:val="nil"/>
              <w:bottom w:val="single" w:sz="4" w:space="0" w:color="auto"/>
              <w:right w:val="single" w:sz="4" w:space="0" w:color="auto"/>
            </w:tcBorders>
            <w:hideMark/>
          </w:tcPr>
          <w:p w14:paraId="1A93CF27" w14:textId="77777777" w:rsidR="005312EA" w:rsidRPr="00205A06" w:rsidRDefault="005312EA" w:rsidP="00C95D2E">
            <w:r w:rsidRPr="00B21E34">
              <w:t>m3</w:t>
            </w:r>
          </w:p>
        </w:tc>
        <w:tc>
          <w:tcPr>
            <w:tcW w:w="1055" w:type="dxa"/>
            <w:tcBorders>
              <w:top w:val="nil"/>
              <w:left w:val="nil"/>
              <w:bottom w:val="single" w:sz="4" w:space="0" w:color="auto"/>
              <w:right w:val="single" w:sz="4" w:space="0" w:color="auto"/>
            </w:tcBorders>
            <w:hideMark/>
          </w:tcPr>
          <w:p w14:paraId="337ED4AC" w14:textId="6ADB0211" w:rsidR="005312EA" w:rsidRPr="00205A06" w:rsidRDefault="00157E54" w:rsidP="00C95D2E">
            <w:r>
              <w:t>2.200,00</w:t>
            </w:r>
          </w:p>
        </w:tc>
        <w:tc>
          <w:tcPr>
            <w:tcW w:w="1203" w:type="dxa"/>
            <w:noWrap/>
            <w:hideMark/>
          </w:tcPr>
          <w:p w14:paraId="23B1AB98" w14:textId="77777777" w:rsidR="005312EA" w:rsidRPr="00205A06" w:rsidRDefault="005312EA" w:rsidP="00C95D2E"/>
        </w:tc>
        <w:tc>
          <w:tcPr>
            <w:tcW w:w="1208" w:type="dxa"/>
            <w:noWrap/>
            <w:hideMark/>
          </w:tcPr>
          <w:p w14:paraId="7210A947" w14:textId="77777777" w:rsidR="005312EA" w:rsidRPr="00205A06" w:rsidRDefault="005312EA" w:rsidP="00C95D2E"/>
        </w:tc>
        <w:tc>
          <w:tcPr>
            <w:tcW w:w="1208" w:type="dxa"/>
            <w:noWrap/>
            <w:hideMark/>
          </w:tcPr>
          <w:p w14:paraId="043AF871" w14:textId="77777777" w:rsidR="005312EA" w:rsidRPr="00205A06" w:rsidRDefault="005312EA" w:rsidP="00C95D2E"/>
        </w:tc>
      </w:tr>
      <w:tr w:rsidR="005312EA" w:rsidRPr="00205A06" w14:paraId="6C34378C" w14:textId="77777777" w:rsidTr="00C95D2E">
        <w:trPr>
          <w:trHeight w:val="304"/>
        </w:trPr>
        <w:tc>
          <w:tcPr>
            <w:tcW w:w="10636" w:type="dxa"/>
            <w:gridSpan w:val="7"/>
            <w:tcBorders>
              <w:top w:val="single" w:sz="8" w:space="0" w:color="auto"/>
              <w:left w:val="single" w:sz="8" w:space="0" w:color="auto"/>
              <w:bottom w:val="single" w:sz="4" w:space="0" w:color="auto"/>
              <w:right w:val="single" w:sz="8" w:space="0" w:color="000000"/>
            </w:tcBorders>
            <w:hideMark/>
          </w:tcPr>
          <w:p w14:paraId="3C5035FE" w14:textId="77777777" w:rsidR="005312EA" w:rsidRPr="00205A06" w:rsidRDefault="005312EA" w:rsidP="00C95D2E">
            <w:r w:rsidRPr="00B21E34">
              <w:t>Specifikacija cena za pražnjenje jednog kontejnera prema vrsti, zapremini i prema učestalosti pražnjenja</w:t>
            </w:r>
          </w:p>
        </w:tc>
      </w:tr>
      <w:tr w:rsidR="005312EA" w:rsidRPr="0029685E" w14:paraId="4B8F3C0C" w14:textId="77777777" w:rsidTr="00C95D2E">
        <w:trPr>
          <w:trHeight w:val="1571"/>
        </w:trPr>
        <w:tc>
          <w:tcPr>
            <w:tcW w:w="824" w:type="dxa"/>
            <w:tcBorders>
              <w:top w:val="nil"/>
              <w:left w:val="single" w:sz="8" w:space="0" w:color="auto"/>
              <w:bottom w:val="single" w:sz="4" w:space="0" w:color="auto"/>
              <w:right w:val="single" w:sz="4" w:space="0" w:color="auto"/>
            </w:tcBorders>
            <w:shd w:val="clear" w:color="auto" w:fill="305496"/>
            <w:noWrap/>
            <w:hideMark/>
          </w:tcPr>
          <w:p w14:paraId="2A43F3BE" w14:textId="77777777" w:rsidR="005312EA" w:rsidRPr="00205A06" w:rsidRDefault="005312EA" w:rsidP="00C95D2E">
            <w:r w:rsidRPr="00B21E34">
              <w:t>red.br.</w:t>
            </w:r>
          </w:p>
        </w:tc>
        <w:tc>
          <w:tcPr>
            <w:tcW w:w="4113" w:type="dxa"/>
            <w:tcBorders>
              <w:top w:val="nil"/>
              <w:left w:val="nil"/>
              <w:bottom w:val="single" w:sz="4" w:space="0" w:color="auto"/>
              <w:right w:val="single" w:sz="4" w:space="0" w:color="auto"/>
            </w:tcBorders>
            <w:shd w:val="clear" w:color="auto" w:fill="305496"/>
            <w:noWrap/>
            <w:hideMark/>
          </w:tcPr>
          <w:p w14:paraId="0BEA797F" w14:textId="77777777" w:rsidR="005312EA" w:rsidRPr="00205A06" w:rsidRDefault="005312EA" w:rsidP="00C95D2E">
            <w:r w:rsidRPr="00B21E34">
              <w:t>Naziv usluge</w:t>
            </w:r>
          </w:p>
        </w:tc>
        <w:tc>
          <w:tcPr>
            <w:tcW w:w="1023" w:type="dxa"/>
            <w:tcBorders>
              <w:top w:val="nil"/>
              <w:left w:val="nil"/>
              <w:bottom w:val="nil"/>
              <w:right w:val="single" w:sz="4" w:space="0" w:color="auto"/>
            </w:tcBorders>
            <w:shd w:val="clear" w:color="auto" w:fill="305496"/>
            <w:noWrap/>
            <w:hideMark/>
          </w:tcPr>
          <w:p w14:paraId="3D43BCD4" w14:textId="77777777" w:rsidR="005312EA" w:rsidRPr="00205A06" w:rsidRDefault="005312EA" w:rsidP="00C95D2E">
            <w:r w:rsidRPr="00B21E34">
              <w:t>jed.</w:t>
            </w:r>
          </w:p>
        </w:tc>
        <w:tc>
          <w:tcPr>
            <w:tcW w:w="1055" w:type="dxa"/>
            <w:tcBorders>
              <w:top w:val="nil"/>
              <w:left w:val="nil"/>
              <w:bottom w:val="nil"/>
              <w:right w:val="single" w:sz="4" w:space="0" w:color="auto"/>
            </w:tcBorders>
            <w:shd w:val="clear" w:color="auto" w:fill="305496"/>
            <w:noWrap/>
            <w:hideMark/>
          </w:tcPr>
          <w:p w14:paraId="6AAFD3A0" w14:textId="77777777" w:rsidR="005312EA" w:rsidRPr="00205A06" w:rsidRDefault="005312EA" w:rsidP="00C95D2E">
            <w:r w:rsidRPr="00B21E34">
              <w:t>jed.</w:t>
            </w:r>
          </w:p>
        </w:tc>
        <w:tc>
          <w:tcPr>
            <w:tcW w:w="1203" w:type="dxa"/>
            <w:tcBorders>
              <w:top w:val="nil"/>
              <w:left w:val="nil"/>
              <w:bottom w:val="nil"/>
              <w:right w:val="single" w:sz="4" w:space="0" w:color="auto"/>
            </w:tcBorders>
            <w:shd w:val="clear" w:color="auto" w:fill="305496"/>
            <w:hideMark/>
          </w:tcPr>
          <w:p w14:paraId="76568D52" w14:textId="77777777" w:rsidR="005312EA" w:rsidRPr="00205A06" w:rsidRDefault="005312EA" w:rsidP="00C95D2E">
            <w:pPr>
              <w:rPr>
                <w:lang w:val="es-ES"/>
              </w:rPr>
            </w:pPr>
            <w:proofErr w:type="gramStart"/>
            <w:r w:rsidRPr="003401B5">
              <w:rPr>
                <w:lang w:val="es-ES"/>
              </w:rPr>
              <w:t>RSD  cena</w:t>
            </w:r>
            <w:proofErr w:type="gramEnd"/>
            <w:r w:rsidRPr="003401B5">
              <w:rPr>
                <w:lang w:val="es-ES"/>
              </w:rPr>
              <w:t xml:space="preserve"> </w:t>
            </w:r>
            <w:proofErr w:type="spellStart"/>
            <w:r w:rsidRPr="003401B5">
              <w:rPr>
                <w:lang w:val="es-ES"/>
              </w:rPr>
              <w:t>bez</w:t>
            </w:r>
            <w:proofErr w:type="spellEnd"/>
            <w:r w:rsidRPr="003401B5">
              <w:rPr>
                <w:lang w:val="es-ES"/>
              </w:rPr>
              <w:t xml:space="preserve"> </w:t>
            </w:r>
            <w:proofErr w:type="spellStart"/>
            <w:r w:rsidRPr="003401B5">
              <w:rPr>
                <w:lang w:val="es-ES"/>
              </w:rPr>
              <w:t>pdv</w:t>
            </w:r>
            <w:proofErr w:type="spellEnd"/>
            <w:r w:rsidRPr="003401B5">
              <w:rPr>
                <w:lang w:val="es-ES"/>
              </w:rPr>
              <w:t xml:space="preserve">-a </w:t>
            </w:r>
            <w:proofErr w:type="spellStart"/>
            <w:r w:rsidRPr="003401B5">
              <w:rPr>
                <w:lang w:val="es-ES"/>
              </w:rPr>
              <w:t>pražnjenje</w:t>
            </w:r>
            <w:proofErr w:type="spellEnd"/>
            <w:r w:rsidRPr="003401B5">
              <w:rPr>
                <w:lang w:val="es-ES"/>
              </w:rPr>
              <w:t xml:space="preserve"> </w:t>
            </w:r>
            <w:proofErr w:type="spellStart"/>
            <w:r w:rsidRPr="003401B5">
              <w:rPr>
                <w:lang w:val="es-ES"/>
              </w:rPr>
              <w:t>jednom</w:t>
            </w:r>
            <w:proofErr w:type="spellEnd"/>
            <w:r w:rsidRPr="003401B5">
              <w:rPr>
                <w:lang w:val="es-ES"/>
              </w:rPr>
              <w:t xml:space="preserve"> u </w:t>
            </w:r>
            <w:proofErr w:type="spellStart"/>
            <w:proofErr w:type="gramStart"/>
            <w:r w:rsidRPr="003401B5">
              <w:rPr>
                <w:lang w:val="es-ES"/>
              </w:rPr>
              <w:t>nedelji</w:t>
            </w:r>
            <w:proofErr w:type="spellEnd"/>
            <w:r w:rsidRPr="003401B5">
              <w:rPr>
                <w:lang w:val="es-ES"/>
              </w:rPr>
              <w:t xml:space="preserve">  (</w:t>
            </w:r>
            <w:proofErr w:type="gramEnd"/>
            <w:r w:rsidRPr="003401B5">
              <w:rPr>
                <w:lang w:val="es-ES"/>
              </w:rPr>
              <w:t xml:space="preserve">1w) </w:t>
            </w:r>
          </w:p>
        </w:tc>
        <w:tc>
          <w:tcPr>
            <w:tcW w:w="1208" w:type="dxa"/>
            <w:tcBorders>
              <w:top w:val="nil"/>
              <w:left w:val="nil"/>
              <w:bottom w:val="nil"/>
              <w:right w:val="single" w:sz="4" w:space="0" w:color="auto"/>
            </w:tcBorders>
            <w:shd w:val="clear" w:color="auto" w:fill="305496"/>
            <w:hideMark/>
          </w:tcPr>
          <w:p w14:paraId="717867B7" w14:textId="77777777" w:rsidR="005312EA" w:rsidRPr="00205A06" w:rsidRDefault="005312EA" w:rsidP="00C95D2E">
            <w:pPr>
              <w:rPr>
                <w:lang w:val="es-ES"/>
              </w:rPr>
            </w:pPr>
            <w:proofErr w:type="gramStart"/>
            <w:r w:rsidRPr="003401B5">
              <w:rPr>
                <w:lang w:val="es-ES"/>
              </w:rPr>
              <w:t>RSD  cena</w:t>
            </w:r>
            <w:proofErr w:type="gramEnd"/>
            <w:r w:rsidRPr="003401B5">
              <w:rPr>
                <w:lang w:val="es-ES"/>
              </w:rPr>
              <w:t xml:space="preserve"> </w:t>
            </w:r>
            <w:proofErr w:type="spellStart"/>
            <w:r w:rsidRPr="003401B5">
              <w:rPr>
                <w:lang w:val="es-ES"/>
              </w:rPr>
              <w:t>bez</w:t>
            </w:r>
            <w:proofErr w:type="spellEnd"/>
            <w:r w:rsidRPr="003401B5">
              <w:rPr>
                <w:lang w:val="es-ES"/>
              </w:rPr>
              <w:t xml:space="preserve"> </w:t>
            </w:r>
            <w:proofErr w:type="spellStart"/>
            <w:r w:rsidRPr="003401B5">
              <w:rPr>
                <w:lang w:val="es-ES"/>
              </w:rPr>
              <w:t>pdv</w:t>
            </w:r>
            <w:proofErr w:type="spellEnd"/>
            <w:r w:rsidRPr="003401B5">
              <w:rPr>
                <w:lang w:val="es-ES"/>
              </w:rPr>
              <w:t xml:space="preserve">-a </w:t>
            </w:r>
            <w:proofErr w:type="gramStart"/>
            <w:r w:rsidRPr="003401B5">
              <w:rPr>
                <w:lang w:val="es-ES"/>
              </w:rPr>
              <w:t xml:space="preserve">za  </w:t>
            </w:r>
            <w:proofErr w:type="spellStart"/>
            <w:r w:rsidRPr="003401B5">
              <w:rPr>
                <w:lang w:val="es-ES"/>
              </w:rPr>
              <w:t>pražnjenje</w:t>
            </w:r>
            <w:proofErr w:type="spellEnd"/>
            <w:proofErr w:type="gramEnd"/>
            <w:r w:rsidRPr="003401B5">
              <w:rPr>
                <w:lang w:val="es-ES"/>
              </w:rPr>
              <w:t xml:space="preserve">  </w:t>
            </w:r>
            <w:proofErr w:type="spellStart"/>
            <w:r w:rsidRPr="003401B5">
              <w:rPr>
                <w:lang w:val="es-ES"/>
              </w:rPr>
              <w:t>dva</w:t>
            </w:r>
            <w:proofErr w:type="spellEnd"/>
            <w:r w:rsidRPr="003401B5">
              <w:rPr>
                <w:lang w:val="es-ES"/>
              </w:rPr>
              <w:t xml:space="preserve"> puta u </w:t>
            </w:r>
            <w:proofErr w:type="spellStart"/>
            <w:r w:rsidRPr="003401B5">
              <w:rPr>
                <w:lang w:val="es-ES"/>
              </w:rPr>
              <w:t>nedelji</w:t>
            </w:r>
            <w:proofErr w:type="spellEnd"/>
            <w:r w:rsidRPr="003401B5">
              <w:rPr>
                <w:lang w:val="es-ES"/>
              </w:rPr>
              <w:t xml:space="preserve"> (2w)</w:t>
            </w:r>
          </w:p>
        </w:tc>
        <w:tc>
          <w:tcPr>
            <w:tcW w:w="1208" w:type="dxa"/>
            <w:tcBorders>
              <w:top w:val="nil"/>
              <w:left w:val="nil"/>
              <w:bottom w:val="nil"/>
              <w:right w:val="single" w:sz="8" w:space="0" w:color="auto"/>
            </w:tcBorders>
            <w:shd w:val="clear" w:color="auto" w:fill="305496"/>
            <w:hideMark/>
          </w:tcPr>
          <w:p w14:paraId="332FCB19" w14:textId="77777777" w:rsidR="005312EA" w:rsidRPr="00205A06" w:rsidRDefault="005312EA" w:rsidP="00C95D2E">
            <w:pPr>
              <w:rPr>
                <w:lang w:val="es-ES"/>
              </w:rPr>
            </w:pPr>
            <w:proofErr w:type="gramStart"/>
            <w:r w:rsidRPr="003401B5">
              <w:rPr>
                <w:lang w:val="es-ES"/>
              </w:rPr>
              <w:t>RSD  cena</w:t>
            </w:r>
            <w:proofErr w:type="gramEnd"/>
            <w:r w:rsidRPr="003401B5">
              <w:rPr>
                <w:lang w:val="es-ES"/>
              </w:rPr>
              <w:t xml:space="preserve"> </w:t>
            </w:r>
            <w:proofErr w:type="spellStart"/>
            <w:r w:rsidRPr="003401B5">
              <w:rPr>
                <w:lang w:val="es-ES"/>
              </w:rPr>
              <w:t>bez</w:t>
            </w:r>
            <w:proofErr w:type="spellEnd"/>
            <w:r w:rsidRPr="003401B5">
              <w:rPr>
                <w:lang w:val="es-ES"/>
              </w:rPr>
              <w:t xml:space="preserve"> </w:t>
            </w:r>
            <w:proofErr w:type="spellStart"/>
            <w:r w:rsidRPr="003401B5">
              <w:rPr>
                <w:lang w:val="es-ES"/>
              </w:rPr>
              <w:t>pdv</w:t>
            </w:r>
            <w:proofErr w:type="spellEnd"/>
            <w:r w:rsidRPr="003401B5">
              <w:rPr>
                <w:lang w:val="es-ES"/>
              </w:rPr>
              <w:t xml:space="preserve">-a </w:t>
            </w:r>
            <w:proofErr w:type="gramStart"/>
            <w:r w:rsidRPr="003401B5">
              <w:rPr>
                <w:lang w:val="es-ES"/>
              </w:rPr>
              <w:t xml:space="preserve">za  </w:t>
            </w:r>
            <w:proofErr w:type="spellStart"/>
            <w:r w:rsidRPr="003401B5">
              <w:rPr>
                <w:lang w:val="es-ES"/>
              </w:rPr>
              <w:t>pražnjenje</w:t>
            </w:r>
            <w:proofErr w:type="spellEnd"/>
            <w:proofErr w:type="gramEnd"/>
            <w:r w:rsidRPr="003401B5">
              <w:rPr>
                <w:lang w:val="es-ES"/>
              </w:rPr>
              <w:t xml:space="preserve"> tri puta u </w:t>
            </w:r>
            <w:proofErr w:type="spellStart"/>
            <w:proofErr w:type="gramStart"/>
            <w:r w:rsidRPr="003401B5">
              <w:rPr>
                <w:lang w:val="es-ES"/>
              </w:rPr>
              <w:t>nedelji</w:t>
            </w:r>
            <w:proofErr w:type="spellEnd"/>
            <w:r w:rsidRPr="003401B5">
              <w:rPr>
                <w:lang w:val="es-ES"/>
              </w:rPr>
              <w:t xml:space="preserve">  (</w:t>
            </w:r>
            <w:proofErr w:type="gramEnd"/>
            <w:r w:rsidRPr="003401B5">
              <w:rPr>
                <w:lang w:val="es-ES"/>
              </w:rPr>
              <w:t>3w)</w:t>
            </w:r>
          </w:p>
        </w:tc>
      </w:tr>
      <w:tr w:rsidR="005312EA" w:rsidRPr="00205A06" w14:paraId="18012A58" w14:textId="77777777" w:rsidTr="00C95D2E">
        <w:trPr>
          <w:trHeight w:val="298"/>
        </w:trPr>
        <w:tc>
          <w:tcPr>
            <w:tcW w:w="824" w:type="dxa"/>
            <w:tcBorders>
              <w:top w:val="nil"/>
              <w:left w:val="single" w:sz="8" w:space="0" w:color="auto"/>
              <w:bottom w:val="single" w:sz="4" w:space="0" w:color="auto"/>
              <w:right w:val="single" w:sz="4" w:space="0" w:color="auto"/>
            </w:tcBorders>
            <w:hideMark/>
          </w:tcPr>
          <w:p w14:paraId="50FF7A84" w14:textId="77777777" w:rsidR="005312EA" w:rsidRPr="00205A06" w:rsidRDefault="005312EA" w:rsidP="00C95D2E">
            <w:r w:rsidRPr="00B21E34">
              <w:t>1.</w:t>
            </w:r>
          </w:p>
        </w:tc>
        <w:tc>
          <w:tcPr>
            <w:tcW w:w="4113" w:type="dxa"/>
            <w:vMerge w:val="restart"/>
            <w:tcBorders>
              <w:top w:val="nil"/>
              <w:left w:val="single" w:sz="4" w:space="0" w:color="auto"/>
              <w:bottom w:val="single" w:sz="8" w:space="0" w:color="000000"/>
              <w:right w:val="nil"/>
            </w:tcBorders>
            <w:noWrap/>
            <w:hideMark/>
          </w:tcPr>
          <w:p w14:paraId="740BF1D7" w14:textId="77777777" w:rsidR="005312EA" w:rsidRDefault="005312EA" w:rsidP="00C95D2E"/>
          <w:p w14:paraId="0949C7C9" w14:textId="77777777" w:rsidR="005312EA" w:rsidRDefault="005312EA" w:rsidP="00C95D2E"/>
          <w:p w14:paraId="6E82151A" w14:textId="77777777" w:rsidR="005312EA" w:rsidRDefault="005312EA" w:rsidP="00C95D2E"/>
          <w:p w14:paraId="0F70714C" w14:textId="77777777" w:rsidR="005312EA" w:rsidRPr="00205A06" w:rsidRDefault="005312EA" w:rsidP="00C95D2E">
            <w:r w:rsidRPr="00B21E34">
              <w:t>pražnjenje jednog kontejnera zapremine</w:t>
            </w:r>
          </w:p>
          <w:p w14:paraId="67B724FB" w14:textId="77777777" w:rsidR="005312EA" w:rsidRPr="00205A06" w:rsidRDefault="005312EA" w:rsidP="00C95D2E"/>
        </w:tc>
        <w:tc>
          <w:tcPr>
            <w:tcW w:w="1023" w:type="dxa"/>
            <w:tcBorders>
              <w:top w:val="single" w:sz="8" w:space="0" w:color="auto"/>
              <w:left w:val="single" w:sz="8" w:space="0" w:color="auto"/>
              <w:bottom w:val="single" w:sz="4" w:space="0" w:color="auto"/>
              <w:right w:val="single" w:sz="4" w:space="0" w:color="auto"/>
            </w:tcBorders>
            <w:hideMark/>
          </w:tcPr>
          <w:p w14:paraId="7812B01C" w14:textId="77777777" w:rsidR="005312EA" w:rsidRPr="00205A06" w:rsidRDefault="005312EA" w:rsidP="00C95D2E">
            <w:r w:rsidRPr="00B21E34">
              <w:t>1,1</w:t>
            </w:r>
          </w:p>
        </w:tc>
        <w:tc>
          <w:tcPr>
            <w:tcW w:w="1055" w:type="dxa"/>
            <w:tcBorders>
              <w:top w:val="single" w:sz="8" w:space="0" w:color="auto"/>
              <w:left w:val="nil"/>
              <w:bottom w:val="single" w:sz="4" w:space="0" w:color="auto"/>
              <w:right w:val="single" w:sz="4" w:space="0" w:color="auto"/>
            </w:tcBorders>
            <w:hideMark/>
          </w:tcPr>
          <w:p w14:paraId="7FFB16D5" w14:textId="77777777" w:rsidR="005312EA" w:rsidRPr="00205A06" w:rsidRDefault="005312EA" w:rsidP="00C95D2E">
            <w:r w:rsidRPr="00B21E34">
              <w:t>m3</w:t>
            </w:r>
          </w:p>
        </w:tc>
        <w:tc>
          <w:tcPr>
            <w:tcW w:w="1203" w:type="dxa"/>
            <w:tcBorders>
              <w:top w:val="single" w:sz="8" w:space="0" w:color="auto"/>
              <w:left w:val="nil"/>
              <w:bottom w:val="single" w:sz="4" w:space="0" w:color="auto"/>
              <w:right w:val="single" w:sz="4" w:space="0" w:color="auto"/>
            </w:tcBorders>
          </w:tcPr>
          <w:p w14:paraId="5EA7E289" w14:textId="79B97258" w:rsidR="005312EA" w:rsidRPr="00205A06" w:rsidRDefault="005312EA" w:rsidP="00C95D2E">
            <w:r w:rsidRPr="00B21E34">
              <w:t>2.</w:t>
            </w:r>
            <w:r w:rsidR="00157E54">
              <w:t>378</w:t>
            </w:r>
            <w:r>
              <w:t>,</w:t>
            </w:r>
            <w:r w:rsidR="00157E54">
              <w:t>2</w:t>
            </w:r>
            <w:r>
              <w:t>0</w:t>
            </w:r>
          </w:p>
        </w:tc>
        <w:tc>
          <w:tcPr>
            <w:tcW w:w="1208" w:type="dxa"/>
            <w:tcBorders>
              <w:top w:val="single" w:sz="8" w:space="0" w:color="auto"/>
              <w:left w:val="nil"/>
              <w:bottom w:val="single" w:sz="4" w:space="0" w:color="auto"/>
              <w:right w:val="single" w:sz="4" w:space="0" w:color="auto"/>
            </w:tcBorders>
            <w:noWrap/>
          </w:tcPr>
          <w:p w14:paraId="69AA9708" w14:textId="0520E096" w:rsidR="005312EA" w:rsidRPr="00205A06" w:rsidRDefault="005312EA" w:rsidP="00C95D2E">
            <w:r w:rsidRPr="00B21E34">
              <w:t>4.</w:t>
            </w:r>
            <w:r w:rsidR="008F4D8D">
              <w:t>756,4</w:t>
            </w:r>
            <w:r>
              <w:t>0</w:t>
            </w:r>
          </w:p>
        </w:tc>
        <w:tc>
          <w:tcPr>
            <w:tcW w:w="1208" w:type="dxa"/>
            <w:tcBorders>
              <w:top w:val="single" w:sz="8" w:space="0" w:color="auto"/>
              <w:left w:val="nil"/>
              <w:bottom w:val="single" w:sz="4" w:space="0" w:color="auto"/>
              <w:right w:val="single" w:sz="8" w:space="0" w:color="auto"/>
            </w:tcBorders>
            <w:noWrap/>
          </w:tcPr>
          <w:p w14:paraId="5070F203" w14:textId="60BEFCDE" w:rsidR="005312EA" w:rsidRPr="00205A06" w:rsidRDefault="008F4D8D" w:rsidP="00C95D2E">
            <w:r>
              <w:t>7.134</w:t>
            </w:r>
            <w:r w:rsidR="005312EA">
              <w:t>,00</w:t>
            </w:r>
          </w:p>
        </w:tc>
      </w:tr>
      <w:tr w:rsidR="005312EA" w:rsidRPr="00205A06" w14:paraId="450DD13C" w14:textId="77777777" w:rsidTr="00C95D2E">
        <w:trPr>
          <w:trHeight w:val="298"/>
        </w:trPr>
        <w:tc>
          <w:tcPr>
            <w:tcW w:w="824" w:type="dxa"/>
            <w:tcBorders>
              <w:top w:val="nil"/>
              <w:left w:val="single" w:sz="8" w:space="0" w:color="auto"/>
              <w:bottom w:val="single" w:sz="4" w:space="0" w:color="auto"/>
              <w:right w:val="single" w:sz="4" w:space="0" w:color="auto"/>
            </w:tcBorders>
            <w:hideMark/>
          </w:tcPr>
          <w:p w14:paraId="7FC22FDB" w14:textId="77777777" w:rsidR="005312EA" w:rsidRPr="00205A06" w:rsidRDefault="005312EA" w:rsidP="00C95D2E">
            <w:r w:rsidRPr="00B21E34">
              <w:t>2.</w:t>
            </w:r>
          </w:p>
        </w:tc>
        <w:tc>
          <w:tcPr>
            <w:tcW w:w="0" w:type="auto"/>
            <w:vMerge/>
            <w:tcBorders>
              <w:top w:val="nil"/>
              <w:left w:val="single" w:sz="4" w:space="0" w:color="auto"/>
              <w:bottom w:val="single" w:sz="8" w:space="0" w:color="000000"/>
              <w:right w:val="nil"/>
            </w:tcBorders>
            <w:hideMark/>
          </w:tcPr>
          <w:p w14:paraId="57B2E61C" w14:textId="77777777" w:rsidR="005312EA" w:rsidRPr="00205A06" w:rsidRDefault="005312EA" w:rsidP="00C95D2E"/>
        </w:tc>
        <w:tc>
          <w:tcPr>
            <w:tcW w:w="1023" w:type="dxa"/>
            <w:tcBorders>
              <w:top w:val="nil"/>
              <w:left w:val="single" w:sz="8" w:space="0" w:color="auto"/>
              <w:bottom w:val="single" w:sz="4" w:space="0" w:color="auto"/>
              <w:right w:val="single" w:sz="4" w:space="0" w:color="auto"/>
            </w:tcBorders>
            <w:hideMark/>
          </w:tcPr>
          <w:p w14:paraId="05329C43" w14:textId="77777777" w:rsidR="005312EA" w:rsidRPr="00205A06" w:rsidRDefault="005312EA" w:rsidP="00C95D2E">
            <w:r w:rsidRPr="00B21E34">
              <w:t>5</w:t>
            </w:r>
          </w:p>
        </w:tc>
        <w:tc>
          <w:tcPr>
            <w:tcW w:w="1055" w:type="dxa"/>
            <w:tcBorders>
              <w:top w:val="nil"/>
              <w:left w:val="nil"/>
              <w:bottom w:val="single" w:sz="4" w:space="0" w:color="auto"/>
              <w:right w:val="single" w:sz="4" w:space="0" w:color="auto"/>
            </w:tcBorders>
            <w:hideMark/>
          </w:tcPr>
          <w:p w14:paraId="01A172E3" w14:textId="77777777" w:rsidR="005312EA" w:rsidRPr="00205A06" w:rsidRDefault="005312EA" w:rsidP="00C95D2E">
            <w:r w:rsidRPr="00B21E34">
              <w:t>m3</w:t>
            </w:r>
          </w:p>
        </w:tc>
        <w:tc>
          <w:tcPr>
            <w:tcW w:w="1203" w:type="dxa"/>
            <w:tcBorders>
              <w:top w:val="nil"/>
              <w:left w:val="nil"/>
              <w:bottom w:val="single" w:sz="4" w:space="0" w:color="auto"/>
              <w:right w:val="single" w:sz="4" w:space="0" w:color="auto"/>
            </w:tcBorders>
          </w:tcPr>
          <w:p w14:paraId="29C118F3" w14:textId="64132000" w:rsidR="005312EA" w:rsidRPr="00205A06" w:rsidRDefault="005312EA" w:rsidP="00C95D2E">
            <w:r w:rsidRPr="00B21E34">
              <w:t>10.</w:t>
            </w:r>
            <w:r w:rsidR="00157E54">
              <w:t>81</w:t>
            </w:r>
            <w:r w:rsidRPr="00B21E34">
              <w:t>0</w:t>
            </w:r>
            <w:r>
              <w:t>,00</w:t>
            </w:r>
          </w:p>
        </w:tc>
        <w:tc>
          <w:tcPr>
            <w:tcW w:w="1208" w:type="dxa"/>
            <w:tcBorders>
              <w:top w:val="nil"/>
              <w:left w:val="nil"/>
              <w:bottom w:val="single" w:sz="4" w:space="0" w:color="auto"/>
              <w:right w:val="single" w:sz="4" w:space="0" w:color="auto"/>
            </w:tcBorders>
            <w:noWrap/>
          </w:tcPr>
          <w:p w14:paraId="6FE6FBBE" w14:textId="75EA7983" w:rsidR="005312EA" w:rsidRPr="00205A06" w:rsidRDefault="008F4D8D" w:rsidP="00C95D2E">
            <w:r>
              <w:t>21.620</w:t>
            </w:r>
            <w:r w:rsidR="005312EA">
              <w:t>,00</w:t>
            </w:r>
          </w:p>
        </w:tc>
        <w:tc>
          <w:tcPr>
            <w:tcW w:w="1208" w:type="dxa"/>
            <w:tcBorders>
              <w:top w:val="nil"/>
              <w:left w:val="nil"/>
              <w:bottom w:val="single" w:sz="4" w:space="0" w:color="auto"/>
              <w:right w:val="single" w:sz="8" w:space="0" w:color="auto"/>
            </w:tcBorders>
            <w:noWrap/>
          </w:tcPr>
          <w:p w14:paraId="0B5488B9" w14:textId="32FD0102" w:rsidR="005312EA" w:rsidRPr="00205A06" w:rsidRDefault="008F4D8D" w:rsidP="00C95D2E">
            <w:r>
              <w:t>32.430</w:t>
            </w:r>
            <w:r w:rsidR="005312EA">
              <w:t>,00</w:t>
            </w:r>
          </w:p>
        </w:tc>
      </w:tr>
      <w:tr w:rsidR="005312EA" w:rsidRPr="00205A06" w14:paraId="4859C3BA" w14:textId="77777777" w:rsidTr="00C95D2E">
        <w:trPr>
          <w:trHeight w:val="298"/>
        </w:trPr>
        <w:tc>
          <w:tcPr>
            <w:tcW w:w="824" w:type="dxa"/>
            <w:tcBorders>
              <w:top w:val="nil"/>
              <w:left w:val="single" w:sz="8" w:space="0" w:color="auto"/>
              <w:bottom w:val="single" w:sz="4" w:space="0" w:color="auto"/>
              <w:right w:val="single" w:sz="4" w:space="0" w:color="auto"/>
            </w:tcBorders>
            <w:hideMark/>
          </w:tcPr>
          <w:p w14:paraId="3E20D532" w14:textId="77777777" w:rsidR="005312EA" w:rsidRPr="00205A06" w:rsidRDefault="005312EA" w:rsidP="00C95D2E">
            <w:r w:rsidRPr="00B21E34">
              <w:t>3.</w:t>
            </w:r>
          </w:p>
        </w:tc>
        <w:tc>
          <w:tcPr>
            <w:tcW w:w="0" w:type="auto"/>
            <w:vMerge/>
            <w:tcBorders>
              <w:top w:val="nil"/>
              <w:left w:val="single" w:sz="4" w:space="0" w:color="auto"/>
              <w:bottom w:val="single" w:sz="8" w:space="0" w:color="000000"/>
              <w:right w:val="nil"/>
            </w:tcBorders>
            <w:hideMark/>
          </w:tcPr>
          <w:p w14:paraId="0C9FB64F" w14:textId="77777777" w:rsidR="005312EA" w:rsidRPr="00205A06" w:rsidRDefault="005312EA" w:rsidP="00C95D2E"/>
        </w:tc>
        <w:tc>
          <w:tcPr>
            <w:tcW w:w="1023" w:type="dxa"/>
            <w:tcBorders>
              <w:top w:val="nil"/>
              <w:left w:val="single" w:sz="8" w:space="0" w:color="auto"/>
              <w:bottom w:val="single" w:sz="8" w:space="0" w:color="auto"/>
              <w:right w:val="single" w:sz="4" w:space="0" w:color="auto"/>
            </w:tcBorders>
            <w:hideMark/>
          </w:tcPr>
          <w:p w14:paraId="6621B1B0" w14:textId="77777777" w:rsidR="005312EA" w:rsidRPr="00205A06" w:rsidRDefault="005312EA" w:rsidP="00C95D2E">
            <w:r w:rsidRPr="00B21E34">
              <w:t>7</w:t>
            </w:r>
          </w:p>
        </w:tc>
        <w:tc>
          <w:tcPr>
            <w:tcW w:w="1055" w:type="dxa"/>
            <w:tcBorders>
              <w:top w:val="nil"/>
              <w:left w:val="nil"/>
              <w:bottom w:val="single" w:sz="8" w:space="0" w:color="auto"/>
              <w:right w:val="single" w:sz="4" w:space="0" w:color="auto"/>
            </w:tcBorders>
            <w:hideMark/>
          </w:tcPr>
          <w:p w14:paraId="35AAA799" w14:textId="77777777" w:rsidR="005312EA" w:rsidRPr="00205A06" w:rsidRDefault="005312EA" w:rsidP="00C95D2E">
            <w:r w:rsidRPr="00B21E34">
              <w:t>m3</w:t>
            </w:r>
          </w:p>
        </w:tc>
        <w:tc>
          <w:tcPr>
            <w:tcW w:w="1203" w:type="dxa"/>
            <w:tcBorders>
              <w:top w:val="nil"/>
              <w:left w:val="nil"/>
              <w:bottom w:val="single" w:sz="8" w:space="0" w:color="auto"/>
              <w:right w:val="single" w:sz="4" w:space="0" w:color="auto"/>
            </w:tcBorders>
          </w:tcPr>
          <w:p w14:paraId="6EEC5951" w14:textId="6B97E113" w:rsidR="005312EA" w:rsidRPr="00205A06" w:rsidRDefault="008F4D8D" w:rsidP="00C95D2E">
            <w:r>
              <w:t>15.134</w:t>
            </w:r>
            <w:r w:rsidR="005312EA">
              <w:t>,00</w:t>
            </w:r>
          </w:p>
        </w:tc>
        <w:tc>
          <w:tcPr>
            <w:tcW w:w="1208" w:type="dxa"/>
            <w:tcBorders>
              <w:top w:val="nil"/>
              <w:left w:val="nil"/>
              <w:bottom w:val="single" w:sz="8" w:space="0" w:color="auto"/>
              <w:right w:val="single" w:sz="4" w:space="0" w:color="auto"/>
            </w:tcBorders>
            <w:noWrap/>
          </w:tcPr>
          <w:p w14:paraId="7C2B763A" w14:textId="30E76041" w:rsidR="005312EA" w:rsidRPr="00205A06" w:rsidRDefault="008F4D8D" w:rsidP="00C95D2E">
            <w:r>
              <w:t>30.268</w:t>
            </w:r>
            <w:r w:rsidR="005312EA">
              <w:t>,00</w:t>
            </w:r>
          </w:p>
        </w:tc>
        <w:tc>
          <w:tcPr>
            <w:tcW w:w="1208" w:type="dxa"/>
            <w:tcBorders>
              <w:top w:val="nil"/>
              <w:left w:val="nil"/>
              <w:bottom w:val="single" w:sz="8" w:space="0" w:color="auto"/>
              <w:right w:val="single" w:sz="8" w:space="0" w:color="auto"/>
            </w:tcBorders>
            <w:noWrap/>
          </w:tcPr>
          <w:p w14:paraId="2A638E60" w14:textId="3467F27D" w:rsidR="005312EA" w:rsidRPr="00205A06" w:rsidRDefault="008F4D8D" w:rsidP="00C95D2E">
            <w:r>
              <w:t>45.402</w:t>
            </w:r>
            <w:r w:rsidR="005312EA">
              <w:t>,00</w:t>
            </w:r>
          </w:p>
        </w:tc>
      </w:tr>
      <w:tr w:rsidR="005312EA" w:rsidRPr="00205A06" w14:paraId="1DD0A23F" w14:textId="77777777" w:rsidTr="00C95D2E">
        <w:trPr>
          <w:trHeight w:val="298"/>
        </w:trPr>
        <w:tc>
          <w:tcPr>
            <w:tcW w:w="824" w:type="dxa"/>
            <w:tcBorders>
              <w:top w:val="nil"/>
              <w:left w:val="single" w:sz="8" w:space="0" w:color="auto"/>
              <w:bottom w:val="single" w:sz="4" w:space="0" w:color="auto"/>
              <w:right w:val="single" w:sz="4" w:space="0" w:color="auto"/>
            </w:tcBorders>
            <w:noWrap/>
            <w:hideMark/>
          </w:tcPr>
          <w:p w14:paraId="36B6A205" w14:textId="77777777" w:rsidR="005312EA" w:rsidRPr="00205A06" w:rsidRDefault="005312EA" w:rsidP="00C95D2E">
            <w:r w:rsidRPr="00B21E34">
              <w:t>4.</w:t>
            </w:r>
          </w:p>
        </w:tc>
        <w:tc>
          <w:tcPr>
            <w:tcW w:w="0" w:type="auto"/>
            <w:vMerge/>
            <w:tcBorders>
              <w:top w:val="nil"/>
              <w:left w:val="single" w:sz="4" w:space="0" w:color="auto"/>
              <w:bottom w:val="single" w:sz="8" w:space="0" w:color="000000"/>
              <w:right w:val="nil"/>
            </w:tcBorders>
            <w:hideMark/>
          </w:tcPr>
          <w:p w14:paraId="17725F6D" w14:textId="77777777" w:rsidR="005312EA" w:rsidRPr="00205A06" w:rsidRDefault="005312EA" w:rsidP="00C95D2E"/>
        </w:tc>
        <w:tc>
          <w:tcPr>
            <w:tcW w:w="1023" w:type="dxa"/>
            <w:tcBorders>
              <w:top w:val="nil"/>
              <w:left w:val="single" w:sz="8" w:space="0" w:color="auto"/>
              <w:bottom w:val="single" w:sz="4" w:space="0" w:color="auto"/>
              <w:right w:val="single" w:sz="4" w:space="0" w:color="auto"/>
            </w:tcBorders>
            <w:hideMark/>
          </w:tcPr>
          <w:p w14:paraId="19C3A8A0" w14:textId="77777777" w:rsidR="005312EA" w:rsidRPr="00205A06" w:rsidRDefault="005312EA" w:rsidP="00C95D2E">
            <w:r w:rsidRPr="00B21E34">
              <w:t>16</w:t>
            </w:r>
          </w:p>
        </w:tc>
        <w:tc>
          <w:tcPr>
            <w:tcW w:w="1055" w:type="dxa"/>
            <w:tcBorders>
              <w:top w:val="nil"/>
              <w:left w:val="nil"/>
              <w:bottom w:val="single" w:sz="4" w:space="0" w:color="auto"/>
              <w:right w:val="single" w:sz="4" w:space="0" w:color="auto"/>
            </w:tcBorders>
            <w:hideMark/>
          </w:tcPr>
          <w:p w14:paraId="0228B54E" w14:textId="77777777" w:rsidR="005312EA" w:rsidRPr="00205A06" w:rsidRDefault="005312EA" w:rsidP="00C95D2E">
            <w:r w:rsidRPr="00B21E34">
              <w:t>m3</w:t>
            </w:r>
          </w:p>
        </w:tc>
        <w:tc>
          <w:tcPr>
            <w:tcW w:w="1203" w:type="dxa"/>
            <w:tcBorders>
              <w:top w:val="nil"/>
              <w:left w:val="nil"/>
              <w:bottom w:val="single" w:sz="4" w:space="0" w:color="auto"/>
              <w:right w:val="single" w:sz="4" w:space="0" w:color="auto"/>
            </w:tcBorders>
          </w:tcPr>
          <w:p w14:paraId="6EC02722" w14:textId="6FEDD81F" w:rsidR="005312EA" w:rsidRPr="00205A06" w:rsidRDefault="008F4D8D" w:rsidP="00C95D2E">
            <w:r>
              <w:t>34.592</w:t>
            </w:r>
            <w:r w:rsidR="005312EA">
              <w:t>,00</w:t>
            </w:r>
          </w:p>
        </w:tc>
        <w:tc>
          <w:tcPr>
            <w:tcW w:w="1208" w:type="dxa"/>
            <w:tcBorders>
              <w:top w:val="nil"/>
              <w:left w:val="nil"/>
              <w:bottom w:val="single" w:sz="4" w:space="0" w:color="auto"/>
              <w:right w:val="single" w:sz="4" w:space="0" w:color="auto"/>
            </w:tcBorders>
            <w:noWrap/>
          </w:tcPr>
          <w:p w14:paraId="5CAA2D3A" w14:textId="3D133203" w:rsidR="005312EA" w:rsidRPr="00205A06" w:rsidRDefault="008F4D8D" w:rsidP="00C95D2E">
            <w:r>
              <w:t>69.184</w:t>
            </w:r>
            <w:r w:rsidR="005312EA">
              <w:t>,00</w:t>
            </w:r>
          </w:p>
        </w:tc>
        <w:tc>
          <w:tcPr>
            <w:tcW w:w="1208" w:type="dxa"/>
            <w:tcBorders>
              <w:top w:val="nil"/>
              <w:left w:val="nil"/>
              <w:bottom w:val="single" w:sz="4" w:space="0" w:color="auto"/>
              <w:right w:val="single" w:sz="8" w:space="0" w:color="auto"/>
            </w:tcBorders>
            <w:noWrap/>
          </w:tcPr>
          <w:p w14:paraId="0795EDCE" w14:textId="3725873D" w:rsidR="005312EA" w:rsidRPr="00205A06" w:rsidRDefault="008F4D8D" w:rsidP="00C95D2E">
            <w:r>
              <w:t>103.776</w:t>
            </w:r>
            <w:r w:rsidR="005312EA">
              <w:t>,00</w:t>
            </w:r>
          </w:p>
        </w:tc>
      </w:tr>
      <w:tr w:rsidR="005312EA" w:rsidRPr="00205A06" w14:paraId="79B96432" w14:textId="77777777" w:rsidTr="00C95D2E">
        <w:trPr>
          <w:trHeight w:val="298"/>
        </w:trPr>
        <w:tc>
          <w:tcPr>
            <w:tcW w:w="824" w:type="dxa"/>
            <w:tcBorders>
              <w:top w:val="nil"/>
              <w:left w:val="single" w:sz="8" w:space="0" w:color="auto"/>
              <w:bottom w:val="single" w:sz="4" w:space="0" w:color="auto"/>
              <w:right w:val="single" w:sz="4" w:space="0" w:color="auto"/>
            </w:tcBorders>
            <w:hideMark/>
          </w:tcPr>
          <w:p w14:paraId="67ED1D61" w14:textId="77777777" w:rsidR="005312EA" w:rsidRPr="00205A06" w:rsidRDefault="005312EA" w:rsidP="00C95D2E">
            <w:r w:rsidRPr="00B21E34">
              <w:t>5.</w:t>
            </w:r>
          </w:p>
        </w:tc>
        <w:tc>
          <w:tcPr>
            <w:tcW w:w="0" w:type="auto"/>
            <w:vMerge/>
            <w:tcBorders>
              <w:top w:val="nil"/>
              <w:left w:val="single" w:sz="4" w:space="0" w:color="auto"/>
              <w:bottom w:val="single" w:sz="8" w:space="0" w:color="000000"/>
              <w:right w:val="nil"/>
            </w:tcBorders>
            <w:hideMark/>
          </w:tcPr>
          <w:p w14:paraId="0E8D11EB" w14:textId="77777777" w:rsidR="005312EA" w:rsidRPr="00205A06" w:rsidRDefault="005312EA" w:rsidP="00C95D2E"/>
        </w:tc>
        <w:tc>
          <w:tcPr>
            <w:tcW w:w="1023" w:type="dxa"/>
            <w:tcBorders>
              <w:top w:val="nil"/>
              <w:left w:val="single" w:sz="8" w:space="0" w:color="auto"/>
              <w:bottom w:val="single" w:sz="4" w:space="0" w:color="auto"/>
              <w:right w:val="single" w:sz="4" w:space="0" w:color="auto"/>
            </w:tcBorders>
            <w:hideMark/>
          </w:tcPr>
          <w:p w14:paraId="54F52BA0" w14:textId="77777777" w:rsidR="005312EA" w:rsidRPr="00205A06" w:rsidRDefault="005312EA" w:rsidP="00C95D2E">
            <w:r w:rsidRPr="00B21E34">
              <w:t>21</w:t>
            </w:r>
          </w:p>
        </w:tc>
        <w:tc>
          <w:tcPr>
            <w:tcW w:w="1055" w:type="dxa"/>
            <w:tcBorders>
              <w:top w:val="nil"/>
              <w:left w:val="nil"/>
              <w:bottom w:val="single" w:sz="4" w:space="0" w:color="auto"/>
              <w:right w:val="single" w:sz="4" w:space="0" w:color="auto"/>
            </w:tcBorders>
            <w:hideMark/>
          </w:tcPr>
          <w:p w14:paraId="5C978F5C" w14:textId="77777777" w:rsidR="005312EA" w:rsidRPr="00205A06" w:rsidRDefault="005312EA" w:rsidP="00C95D2E">
            <w:r w:rsidRPr="00B21E34">
              <w:t>m3</w:t>
            </w:r>
          </w:p>
        </w:tc>
        <w:tc>
          <w:tcPr>
            <w:tcW w:w="1203" w:type="dxa"/>
            <w:tcBorders>
              <w:top w:val="nil"/>
              <w:left w:val="nil"/>
              <w:bottom w:val="single" w:sz="4" w:space="0" w:color="auto"/>
              <w:right w:val="single" w:sz="4" w:space="0" w:color="auto"/>
            </w:tcBorders>
          </w:tcPr>
          <w:p w14:paraId="3D63AE63" w14:textId="56B95CAC" w:rsidR="005312EA" w:rsidRPr="00205A06" w:rsidRDefault="008F4D8D" w:rsidP="00C95D2E">
            <w:r>
              <w:t>45.402</w:t>
            </w:r>
            <w:r w:rsidR="005312EA">
              <w:t>,00</w:t>
            </w:r>
          </w:p>
        </w:tc>
        <w:tc>
          <w:tcPr>
            <w:tcW w:w="1208" w:type="dxa"/>
            <w:tcBorders>
              <w:top w:val="nil"/>
              <w:left w:val="nil"/>
              <w:bottom w:val="single" w:sz="4" w:space="0" w:color="auto"/>
              <w:right w:val="single" w:sz="4" w:space="0" w:color="auto"/>
            </w:tcBorders>
            <w:noWrap/>
          </w:tcPr>
          <w:p w14:paraId="3425F05F" w14:textId="76872F17" w:rsidR="005312EA" w:rsidRPr="00205A06" w:rsidRDefault="008F4D8D" w:rsidP="00C95D2E">
            <w:r>
              <w:t>90.804</w:t>
            </w:r>
            <w:r w:rsidR="005312EA">
              <w:t>,00</w:t>
            </w:r>
          </w:p>
        </w:tc>
        <w:tc>
          <w:tcPr>
            <w:tcW w:w="1208" w:type="dxa"/>
            <w:tcBorders>
              <w:top w:val="nil"/>
              <w:left w:val="nil"/>
              <w:bottom w:val="single" w:sz="4" w:space="0" w:color="auto"/>
              <w:right w:val="single" w:sz="8" w:space="0" w:color="auto"/>
            </w:tcBorders>
            <w:noWrap/>
          </w:tcPr>
          <w:p w14:paraId="2E832F46" w14:textId="4E966CDA" w:rsidR="005312EA" w:rsidRPr="00205A06" w:rsidRDefault="008F4D8D" w:rsidP="00C95D2E">
            <w:r>
              <w:t>136.206</w:t>
            </w:r>
            <w:r w:rsidR="005312EA">
              <w:t>,00</w:t>
            </w:r>
          </w:p>
        </w:tc>
      </w:tr>
      <w:tr w:rsidR="005312EA" w:rsidRPr="00205A06" w14:paraId="7FFDDC58" w14:textId="77777777" w:rsidTr="00C95D2E">
        <w:trPr>
          <w:trHeight w:val="56"/>
        </w:trPr>
        <w:tc>
          <w:tcPr>
            <w:tcW w:w="824" w:type="dxa"/>
            <w:tcBorders>
              <w:top w:val="nil"/>
              <w:left w:val="single" w:sz="8" w:space="0" w:color="auto"/>
              <w:bottom w:val="single" w:sz="8" w:space="0" w:color="auto"/>
              <w:right w:val="single" w:sz="4" w:space="0" w:color="auto"/>
            </w:tcBorders>
            <w:noWrap/>
            <w:hideMark/>
          </w:tcPr>
          <w:p w14:paraId="5845D536" w14:textId="77777777" w:rsidR="005312EA" w:rsidRPr="00205A06" w:rsidRDefault="005312EA" w:rsidP="00C95D2E">
            <w:r w:rsidRPr="00B21E34">
              <w:t>6.</w:t>
            </w:r>
          </w:p>
        </w:tc>
        <w:tc>
          <w:tcPr>
            <w:tcW w:w="0" w:type="auto"/>
            <w:vMerge/>
            <w:tcBorders>
              <w:top w:val="nil"/>
              <w:left w:val="single" w:sz="4" w:space="0" w:color="auto"/>
              <w:bottom w:val="single" w:sz="8" w:space="0" w:color="000000"/>
              <w:right w:val="nil"/>
            </w:tcBorders>
            <w:hideMark/>
          </w:tcPr>
          <w:p w14:paraId="0A116CFC" w14:textId="77777777" w:rsidR="005312EA" w:rsidRPr="00205A06" w:rsidRDefault="005312EA" w:rsidP="00C95D2E"/>
        </w:tc>
        <w:tc>
          <w:tcPr>
            <w:tcW w:w="1023" w:type="dxa"/>
            <w:tcBorders>
              <w:top w:val="nil"/>
              <w:left w:val="single" w:sz="8" w:space="0" w:color="auto"/>
              <w:bottom w:val="single" w:sz="8" w:space="0" w:color="auto"/>
              <w:right w:val="single" w:sz="4" w:space="0" w:color="auto"/>
            </w:tcBorders>
            <w:hideMark/>
          </w:tcPr>
          <w:p w14:paraId="598EB665" w14:textId="77777777" w:rsidR="005312EA" w:rsidRPr="00205A06" w:rsidRDefault="005312EA" w:rsidP="00C95D2E">
            <w:r w:rsidRPr="00B21E34">
              <w:t>32</w:t>
            </w:r>
          </w:p>
        </w:tc>
        <w:tc>
          <w:tcPr>
            <w:tcW w:w="1055" w:type="dxa"/>
            <w:tcBorders>
              <w:top w:val="nil"/>
              <w:left w:val="nil"/>
              <w:bottom w:val="single" w:sz="8" w:space="0" w:color="auto"/>
              <w:right w:val="single" w:sz="4" w:space="0" w:color="auto"/>
            </w:tcBorders>
            <w:hideMark/>
          </w:tcPr>
          <w:p w14:paraId="52F81908" w14:textId="77777777" w:rsidR="005312EA" w:rsidRPr="00205A06" w:rsidRDefault="005312EA" w:rsidP="00C95D2E">
            <w:r w:rsidRPr="00B21E34">
              <w:t>m3</w:t>
            </w:r>
          </w:p>
        </w:tc>
        <w:tc>
          <w:tcPr>
            <w:tcW w:w="1203" w:type="dxa"/>
            <w:tcBorders>
              <w:top w:val="nil"/>
              <w:left w:val="nil"/>
              <w:bottom w:val="single" w:sz="8" w:space="0" w:color="auto"/>
              <w:right w:val="single" w:sz="4" w:space="0" w:color="auto"/>
            </w:tcBorders>
          </w:tcPr>
          <w:p w14:paraId="12E527AB" w14:textId="2F82065B" w:rsidR="005312EA" w:rsidRPr="00205A06" w:rsidRDefault="008F4D8D" w:rsidP="00C95D2E">
            <w:r>
              <w:t>69.184</w:t>
            </w:r>
            <w:r w:rsidR="005312EA">
              <w:t>,00</w:t>
            </w:r>
          </w:p>
        </w:tc>
        <w:tc>
          <w:tcPr>
            <w:tcW w:w="1208" w:type="dxa"/>
            <w:tcBorders>
              <w:top w:val="nil"/>
              <w:left w:val="nil"/>
              <w:bottom w:val="single" w:sz="8" w:space="0" w:color="auto"/>
              <w:right w:val="single" w:sz="4" w:space="0" w:color="auto"/>
            </w:tcBorders>
            <w:noWrap/>
          </w:tcPr>
          <w:p w14:paraId="7C2F83D7" w14:textId="3C191874" w:rsidR="005312EA" w:rsidRPr="00205A06" w:rsidRDefault="005312EA" w:rsidP="00C95D2E">
            <w:r w:rsidRPr="00B21E34">
              <w:t>1</w:t>
            </w:r>
            <w:r w:rsidR="008F4D8D">
              <w:t>3</w:t>
            </w:r>
            <w:r w:rsidRPr="00B21E34">
              <w:t>8.</w:t>
            </w:r>
            <w:r w:rsidR="008F4D8D">
              <w:t>368</w:t>
            </w:r>
            <w:r>
              <w:t>,00</w:t>
            </w:r>
          </w:p>
        </w:tc>
        <w:tc>
          <w:tcPr>
            <w:tcW w:w="1208" w:type="dxa"/>
            <w:tcBorders>
              <w:top w:val="nil"/>
              <w:left w:val="nil"/>
              <w:bottom w:val="single" w:sz="8" w:space="0" w:color="auto"/>
              <w:right w:val="single" w:sz="8" w:space="0" w:color="auto"/>
            </w:tcBorders>
            <w:noWrap/>
          </w:tcPr>
          <w:p w14:paraId="45E1BC33" w14:textId="34D7C023" w:rsidR="005312EA" w:rsidRPr="00205A06" w:rsidRDefault="008F4D8D" w:rsidP="00C95D2E">
            <w:r>
              <w:t>207.552</w:t>
            </w:r>
            <w:r w:rsidR="005312EA">
              <w:t>,00</w:t>
            </w:r>
          </w:p>
        </w:tc>
      </w:tr>
      <w:tr w:rsidR="005312EA" w:rsidRPr="00034F68" w14:paraId="66A51C96" w14:textId="77777777" w:rsidTr="00C95D2E">
        <w:trPr>
          <w:trHeight w:val="229"/>
        </w:trPr>
        <w:tc>
          <w:tcPr>
            <w:tcW w:w="10636" w:type="dxa"/>
            <w:gridSpan w:val="7"/>
            <w:tcBorders>
              <w:top w:val="single" w:sz="8" w:space="0" w:color="auto"/>
              <w:left w:val="single" w:sz="8" w:space="0" w:color="auto"/>
              <w:bottom w:val="single" w:sz="4" w:space="0" w:color="auto"/>
              <w:right w:val="single" w:sz="8" w:space="0" w:color="000000"/>
            </w:tcBorders>
            <w:hideMark/>
          </w:tcPr>
          <w:p w14:paraId="48FB2AC8" w14:textId="77777777" w:rsidR="005312EA" w:rsidRPr="00034F68" w:rsidRDefault="005312EA" w:rsidP="00C95D2E">
            <w:pPr>
              <w:rPr>
                <w:lang w:val="it-IT"/>
              </w:rPr>
            </w:pPr>
            <w:r w:rsidRPr="00034F68">
              <w:rPr>
                <w:lang w:val="it-IT"/>
              </w:rPr>
              <w:t>Usluga se može dogovoriti i za veći broj kontejnera - po zahtevu klijenta</w:t>
            </w:r>
          </w:p>
        </w:tc>
      </w:tr>
      <w:tr w:rsidR="005312EA" w:rsidRPr="0029685E" w14:paraId="0D7FC277" w14:textId="77777777" w:rsidTr="00C95D2E">
        <w:trPr>
          <w:trHeight w:val="531"/>
        </w:trPr>
        <w:tc>
          <w:tcPr>
            <w:tcW w:w="824" w:type="dxa"/>
            <w:tcBorders>
              <w:top w:val="nil"/>
              <w:left w:val="single" w:sz="4" w:space="0" w:color="auto"/>
              <w:bottom w:val="single" w:sz="4" w:space="0" w:color="auto"/>
              <w:right w:val="single" w:sz="4" w:space="0" w:color="auto"/>
            </w:tcBorders>
            <w:shd w:val="clear" w:color="auto" w:fill="305496"/>
            <w:noWrap/>
            <w:hideMark/>
          </w:tcPr>
          <w:p w14:paraId="67468FD7" w14:textId="77777777" w:rsidR="005312EA" w:rsidRPr="00205A06" w:rsidRDefault="005312EA" w:rsidP="00C95D2E">
            <w:r w:rsidRPr="00B21E34">
              <w:t>red.br.</w:t>
            </w:r>
          </w:p>
        </w:tc>
        <w:tc>
          <w:tcPr>
            <w:tcW w:w="4113" w:type="dxa"/>
            <w:tcBorders>
              <w:top w:val="nil"/>
              <w:left w:val="nil"/>
              <w:bottom w:val="single" w:sz="4" w:space="0" w:color="auto"/>
              <w:right w:val="single" w:sz="4" w:space="0" w:color="auto"/>
            </w:tcBorders>
            <w:shd w:val="clear" w:color="auto" w:fill="305496"/>
            <w:noWrap/>
            <w:hideMark/>
          </w:tcPr>
          <w:p w14:paraId="190913C8" w14:textId="77777777" w:rsidR="005312EA" w:rsidRPr="00205A06" w:rsidRDefault="005312EA" w:rsidP="00C95D2E">
            <w:r w:rsidRPr="00B21E34">
              <w:t>Naziv usluge</w:t>
            </w:r>
          </w:p>
        </w:tc>
        <w:tc>
          <w:tcPr>
            <w:tcW w:w="1023" w:type="dxa"/>
            <w:tcBorders>
              <w:top w:val="nil"/>
              <w:left w:val="nil"/>
              <w:bottom w:val="single" w:sz="4" w:space="0" w:color="auto"/>
              <w:right w:val="single" w:sz="4" w:space="0" w:color="auto"/>
            </w:tcBorders>
            <w:shd w:val="clear" w:color="auto" w:fill="305496"/>
            <w:noWrap/>
            <w:hideMark/>
          </w:tcPr>
          <w:p w14:paraId="0C48AFFC" w14:textId="77777777" w:rsidR="005312EA" w:rsidRPr="00205A06" w:rsidRDefault="005312EA" w:rsidP="00C95D2E">
            <w:r w:rsidRPr="00B21E34">
              <w:t>jed.</w:t>
            </w:r>
          </w:p>
        </w:tc>
        <w:tc>
          <w:tcPr>
            <w:tcW w:w="1055" w:type="dxa"/>
            <w:tcBorders>
              <w:top w:val="nil"/>
              <w:left w:val="nil"/>
              <w:bottom w:val="single" w:sz="4" w:space="0" w:color="auto"/>
              <w:right w:val="nil"/>
            </w:tcBorders>
            <w:shd w:val="clear" w:color="auto" w:fill="305496"/>
            <w:hideMark/>
          </w:tcPr>
          <w:p w14:paraId="5B93FF3B" w14:textId="77777777" w:rsidR="005312EA" w:rsidRPr="00205A06" w:rsidRDefault="005312EA" w:rsidP="00C95D2E">
            <w:pPr>
              <w:rPr>
                <w:lang w:val="es-ES"/>
              </w:rPr>
            </w:pPr>
            <w:proofErr w:type="gramStart"/>
            <w:r w:rsidRPr="003401B5">
              <w:rPr>
                <w:lang w:val="es-ES"/>
              </w:rPr>
              <w:t>RSD  cena</w:t>
            </w:r>
            <w:proofErr w:type="gramEnd"/>
            <w:r w:rsidRPr="003401B5">
              <w:rPr>
                <w:lang w:val="es-ES"/>
              </w:rPr>
              <w:t xml:space="preserve"> </w:t>
            </w:r>
            <w:proofErr w:type="spellStart"/>
            <w:r w:rsidRPr="003401B5">
              <w:rPr>
                <w:lang w:val="es-ES"/>
              </w:rPr>
              <w:t>bez</w:t>
            </w:r>
            <w:proofErr w:type="spellEnd"/>
            <w:r w:rsidRPr="003401B5">
              <w:rPr>
                <w:lang w:val="es-ES"/>
              </w:rPr>
              <w:t xml:space="preserve"> </w:t>
            </w:r>
            <w:proofErr w:type="spellStart"/>
            <w:r w:rsidRPr="003401B5">
              <w:rPr>
                <w:lang w:val="es-ES"/>
              </w:rPr>
              <w:t>pdv</w:t>
            </w:r>
            <w:proofErr w:type="spellEnd"/>
            <w:r w:rsidRPr="003401B5">
              <w:rPr>
                <w:lang w:val="es-ES"/>
              </w:rPr>
              <w:t xml:space="preserve">-a </w:t>
            </w:r>
          </w:p>
        </w:tc>
        <w:tc>
          <w:tcPr>
            <w:tcW w:w="1203" w:type="dxa"/>
            <w:noWrap/>
            <w:hideMark/>
          </w:tcPr>
          <w:p w14:paraId="57B36C79" w14:textId="77777777" w:rsidR="005312EA" w:rsidRPr="00205A06" w:rsidRDefault="005312EA" w:rsidP="00C95D2E">
            <w:pPr>
              <w:rPr>
                <w:lang w:val="es-ES"/>
              </w:rPr>
            </w:pPr>
          </w:p>
        </w:tc>
        <w:tc>
          <w:tcPr>
            <w:tcW w:w="1208" w:type="dxa"/>
            <w:noWrap/>
            <w:hideMark/>
          </w:tcPr>
          <w:p w14:paraId="19554955" w14:textId="77777777" w:rsidR="005312EA" w:rsidRPr="00205A06" w:rsidRDefault="005312EA" w:rsidP="00C95D2E">
            <w:pPr>
              <w:rPr>
                <w:lang w:val="es-ES"/>
              </w:rPr>
            </w:pPr>
          </w:p>
        </w:tc>
        <w:tc>
          <w:tcPr>
            <w:tcW w:w="1208" w:type="dxa"/>
            <w:noWrap/>
            <w:hideMark/>
          </w:tcPr>
          <w:p w14:paraId="77EB0084" w14:textId="77777777" w:rsidR="005312EA" w:rsidRPr="00205A06" w:rsidRDefault="005312EA" w:rsidP="00C95D2E">
            <w:pPr>
              <w:rPr>
                <w:lang w:val="es-ES"/>
              </w:rPr>
            </w:pPr>
          </w:p>
        </w:tc>
      </w:tr>
      <w:tr w:rsidR="005312EA" w:rsidRPr="00205A06" w14:paraId="38BFC993" w14:textId="77777777" w:rsidTr="00C95D2E">
        <w:trPr>
          <w:trHeight w:val="265"/>
        </w:trPr>
        <w:tc>
          <w:tcPr>
            <w:tcW w:w="824" w:type="dxa"/>
            <w:tcBorders>
              <w:top w:val="nil"/>
              <w:left w:val="single" w:sz="4" w:space="0" w:color="auto"/>
              <w:bottom w:val="single" w:sz="4" w:space="0" w:color="auto"/>
              <w:right w:val="single" w:sz="4" w:space="0" w:color="auto"/>
            </w:tcBorders>
            <w:hideMark/>
          </w:tcPr>
          <w:p w14:paraId="7954021B" w14:textId="77777777" w:rsidR="005312EA" w:rsidRPr="00205A06" w:rsidRDefault="005312EA" w:rsidP="00C95D2E">
            <w:r w:rsidRPr="00B21E34">
              <w:t>1.</w:t>
            </w:r>
          </w:p>
        </w:tc>
        <w:tc>
          <w:tcPr>
            <w:tcW w:w="4113" w:type="dxa"/>
            <w:tcBorders>
              <w:top w:val="nil"/>
              <w:left w:val="nil"/>
              <w:bottom w:val="single" w:sz="4" w:space="0" w:color="auto"/>
              <w:right w:val="single" w:sz="4" w:space="0" w:color="auto"/>
            </w:tcBorders>
            <w:hideMark/>
          </w:tcPr>
          <w:p w14:paraId="26E1AC76" w14:textId="77777777" w:rsidR="005312EA" w:rsidRPr="00205A06" w:rsidRDefault="005312EA" w:rsidP="00C95D2E">
            <w:pPr>
              <w:rPr>
                <w:lang w:val="es-ES"/>
              </w:rPr>
            </w:pPr>
            <w:proofErr w:type="spellStart"/>
            <w:r w:rsidRPr="003401B5">
              <w:rPr>
                <w:lang w:val="es-ES"/>
              </w:rPr>
              <w:t>usluge</w:t>
            </w:r>
            <w:proofErr w:type="spellEnd"/>
            <w:r w:rsidRPr="003401B5">
              <w:rPr>
                <w:lang w:val="es-ES"/>
              </w:rPr>
              <w:t xml:space="preserve"> transporta van </w:t>
            </w:r>
            <w:proofErr w:type="spellStart"/>
            <w:r w:rsidRPr="003401B5">
              <w:rPr>
                <w:lang w:val="es-ES"/>
              </w:rPr>
              <w:t>redovnih</w:t>
            </w:r>
            <w:proofErr w:type="spellEnd"/>
            <w:r w:rsidRPr="003401B5">
              <w:rPr>
                <w:lang w:val="es-ES"/>
              </w:rPr>
              <w:t xml:space="preserve"> ruta</w:t>
            </w:r>
          </w:p>
        </w:tc>
        <w:tc>
          <w:tcPr>
            <w:tcW w:w="1023" w:type="dxa"/>
            <w:tcBorders>
              <w:top w:val="nil"/>
              <w:left w:val="nil"/>
              <w:bottom w:val="single" w:sz="4" w:space="0" w:color="auto"/>
              <w:right w:val="single" w:sz="4" w:space="0" w:color="auto"/>
            </w:tcBorders>
            <w:hideMark/>
          </w:tcPr>
          <w:p w14:paraId="3AA1FF03" w14:textId="77777777" w:rsidR="005312EA" w:rsidRPr="00205A06" w:rsidRDefault="005312EA" w:rsidP="00C95D2E">
            <w:r w:rsidRPr="00B21E34">
              <w:t>km</w:t>
            </w:r>
          </w:p>
        </w:tc>
        <w:tc>
          <w:tcPr>
            <w:tcW w:w="1055" w:type="dxa"/>
            <w:tcBorders>
              <w:top w:val="nil"/>
              <w:left w:val="nil"/>
              <w:bottom w:val="single" w:sz="4" w:space="0" w:color="auto"/>
              <w:right w:val="single" w:sz="4" w:space="0" w:color="auto"/>
            </w:tcBorders>
            <w:hideMark/>
          </w:tcPr>
          <w:p w14:paraId="73C0EF40" w14:textId="0CDEBA2A" w:rsidR="005312EA" w:rsidRPr="00205A06" w:rsidRDefault="005312EA" w:rsidP="00C95D2E">
            <w:r w:rsidRPr="00B21E34">
              <w:t>2</w:t>
            </w:r>
            <w:r w:rsidR="00157E54">
              <w:t>50</w:t>
            </w:r>
            <w:r>
              <w:t>,00</w:t>
            </w:r>
          </w:p>
        </w:tc>
        <w:tc>
          <w:tcPr>
            <w:tcW w:w="1203" w:type="dxa"/>
            <w:noWrap/>
            <w:hideMark/>
          </w:tcPr>
          <w:p w14:paraId="4BA7704C" w14:textId="77777777" w:rsidR="005312EA" w:rsidRPr="00205A06" w:rsidRDefault="005312EA" w:rsidP="00C95D2E"/>
        </w:tc>
        <w:tc>
          <w:tcPr>
            <w:tcW w:w="1208" w:type="dxa"/>
            <w:noWrap/>
            <w:hideMark/>
          </w:tcPr>
          <w:p w14:paraId="718BEBCC" w14:textId="77777777" w:rsidR="005312EA" w:rsidRPr="00205A06" w:rsidRDefault="005312EA" w:rsidP="00C95D2E"/>
        </w:tc>
        <w:tc>
          <w:tcPr>
            <w:tcW w:w="1208" w:type="dxa"/>
            <w:noWrap/>
            <w:hideMark/>
          </w:tcPr>
          <w:p w14:paraId="1FE1E94C" w14:textId="77777777" w:rsidR="005312EA" w:rsidRPr="00205A06" w:rsidRDefault="005312EA" w:rsidP="00C95D2E"/>
        </w:tc>
      </w:tr>
    </w:tbl>
    <w:p w14:paraId="30A4D263" w14:textId="77777777" w:rsidR="005312EA" w:rsidRPr="00034F68" w:rsidRDefault="005312EA" w:rsidP="005312EA">
      <w:pPr>
        <w:pStyle w:val="NoSpacing"/>
        <w:jc w:val="right"/>
        <w:rPr>
          <w:lang w:val="it-IT"/>
        </w:rPr>
      </w:pPr>
      <w:r w:rsidRPr="00032026">
        <w:rPr>
          <w:lang w:val="it-IT"/>
        </w:rPr>
        <w:t xml:space="preserve"> </w:t>
      </w:r>
    </w:p>
    <w:p w14:paraId="54C88355" w14:textId="77777777" w:rsidR="002E208A" w:rsidRDefault="002E208A" w:rsidP="007A645B"/>
    <w:sectPr w:rsidR="002E2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5930"/>
    <w:multiLevelType w:val="multilevel"/>
    <w:tmpl w:val="8092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717983"/>
    <w:multiLevelType w:val="multilevel"/>
    <w:tmpl w:val="E436AE7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5ECF0449"/>
    <w:multiLevelType w:val="hybridMultilevel"/>
    <w:tmpl w:val="17E61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4441F2"/>
    <w:multiLevelType w:val="hybridMultilevel"/>
    <w:tmpl w:val="0854FB92"/>
    <w:lvl w:ilvl="0" w:tplc="483EE59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75598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671129">
    <w:abstractNumId w:val="2"/>
  </w:num>
  <w:num w:numId="3" w16cid:durableId="145245343">
    <w:abstractNumId w:val="0"/>
  </w:num>
  <w:num w:numId="4" w16cid:durableId="1680111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D7"/>
    <w:rsid w:val="00020426"/>
    <w:rsid w:val="00020FBB"/>
    <w:rsid w:val="000303D6"/>
    <w:rsid w:val="00050537"/>
    <w:rsid w:val="0005240F"/>
    <w:rsid w:val="000576E8"/>
    <w:rsid w:val="00080B47"/>
    <w:rsid w:val="000A1C44"/>
    <w:rsid w:val="000A6084"/>
    <w:rsid w:val="000B6FD5"/>
    <w:rsid w:val="000C0D67"/>
    <w:rsid w:val="000C69DA"/>
    <w:rsid w:val="000D7CCE"/>
    <w:rsid w:val="000E1327"/>
    <w:rsid w:val="000F4FB8"/>
    <w:rsid w:val="001006DF"/>
    <w:rsid w:val="00115F38"/>
    <w:rsid w:val="00121780"/>
    <w:rsid w:val="00130476"/>
    <w:rsid w:val="00132C46"/>
    <w:rsid w:val="00136992"/>
    <w:rsid w:val="00150881"/>
    <w:rsid w:val="00157E54"/>
    <w:rsid w:val="00161AE8"/>
    <w:rsid w:val="0017237D"/>
    <w:rsid w:val="001963AF"/>
    <w:rsid w:val="001A4A0B"/>
    <w:rsid w:val="001B27F8"/>
    <w:rsid w:val="001D405A"/>
    <w:rsid w:val="001F04AD"/>
    <w:rsid w:val="002026CD"/>
    <w:rsid w:val="0022078F"/>
    <w:rsid w:val="00227AD7"/>
    <w:rsid w:val="00253F81"/>
    <w:rsid w:val="00267594"/>
    <w:rsid w:val="002A52FE"/>
    <w:rsid w:val="002A696F"/>
    <w:rsid w:val="002D6A66"/>
    <w:rsid w:val="002E15AD"/>
    <w:rsid w:val="002E208A"/>
    <w:rsid w:val="002E4B1C"/>
    <w:rsid w:val="00326D76"/>
    <w:rsid w:val="00327A59"/>
    <w:rsid w:val="00334E87"/>
    <w:rsid w:val="0034380C"/>
    <w:rsid w:val="00354826"/>
    <w:rsid w:val="00366EA3"/>
    <w:rsid w:val="00376E14"/>
    <w:rsid w:val="00387144"/>
    <w:rsid w:val="00387271"/>
    <w:rsid w:val="003874B1"/>
    <w:rsid w:val="003A166A"/>
    <w:rsid w:val="003A3B63"/>
    <w:rsid w:val="003C0940"/>
    <w:rsid w:val="003D5157"/>
    <w:rsid w:val="003D73D6"/>
    <w:rsid w:val="003E174E"/>
    <w:rsid w:val="003E3BEE"/>
    <w:rsid w:val="003F2AAC"/>
    <w:rsid w:val="004057E1"/>
    <w:rsid w:val="00406A0F"/>
    <w:rsid w:val="0043048A"/>
    <w:rsid w:val="00432F45"/>
    <w:rsid w:val="0043380B"/>
    <w:rsid w:val="0044074B"/>
    <w:rsid w:val="00451C2E"/>
    <w:rsid w:val="00454E40"/>
    <w:rsid w:val="00457D7C"/>
    <w:rsid w:val="00465BF3"/>
    <w:rsid w:val="00472F6A"/>
    <w:rsid w:val="00487B3F"/>
    <w:rsid w:val="0049299E"/>
    <w:rsid w:val="0049689F"/>
    <w:rsid w:val="004A2404"/>
    <w:rsid w:val="004A6767"/>
    <w:rsid w:val="004B6EEA"/>
    <w:rsid w:val="004C16D4"/>
    <w:rsid w:val="004C23A3"/>
    <w:rsid w:val="004C3F06"/>
    <w:rsid w:val="004C6A86"/>
    <w:rsid w:val="004F075C"/>
    <w:rsid w:val="00502DCC"/>
    <w:rsid w:val="00525209"/>
    <w:rsid w:val="00530FDC"/>
    <w:rsid w:val="005312EA"/>
    <w:rsid w:val="00535019"/>
    <w:rsid w:val="00536945"/>
    <w:rsid w:val="00546752"/>
    <w:rsid w:val="00553B0D"/>
    <w:rsid w:val="0056605F"/>
    <w:rsid w:val="00572BD7"/>
    <w:rsid w:val="00583D17"/>
    <w:rsid w:val="005870F2"/>
    <w:rsid w:val="005C5E86"/>
    <w:rsid w:val="005D77F3"/>
    <w:rsid w:val="005E572D"/>
    <w:rsid w:val="0060702D"/>
    <w:rsid w:val="006107D3"/>
    <w:rsid w:val="00615D7C"/>
    <w:rsid w:val="00635575"/>
    <w:rsid w:val="006419FF"/>
    <w:rsid w:val="00646020"/>
    <w:rsid w:val="00651DEF"/>
    <w:rsid w:val="00656B3D"/>
    <w:rsid w:val="006606C0"/>
    <w:rsid w:val="00671F2B"/>
    <w:rsid w:val="00684480"/>
    <w:rsid w:val="0068725A"/>
    <w:rsid w:val="0068752A"/>
    <w:rsid w:val="00687C3D"/>
    <w:rsid w:val="0069650C"/>
    <w:rsid w:val="006A1ECB"/>
    <w:rsid w:val="006B18CE"/>
    <w:rsid w:val="006B1996"/>
    <w:rsid w:val="006B7876"/>
    <w:rsid w:val="006C461D"/>
    <w:rsid w:val="006C624A"/>
    <w:rsid w:val="006D12D5"/>
    <w:rsid w:val="006D6413"/>
    <w:rsid w:val="006E4D87"/>
    <w:rsid w:val="006F29B8"/>
    <w:rsid w:val="006F40E2"/>
    <w:rsid w:val="00710379"/>
    <w:rsid w:val="007137A4"/>
    <w:rsid w:val="00740859"/>
    <w:rsid w:val="00744171"/>
    <w:rsid w:val="007560F2"/>
    <w:rsid w:val="0077092F"/>
    <w:rsid w:val="00783146"/>
    <w:rsid w:val="00785E33"/>
    <w:rsid w:val="00793EBC"/>
    <w:rsid w:val="007A645B"/>
    <w:rsid w:val="007B0782"/>
    <w:rsid w:val="007C0FDC"/>
    <w:rsid w:val="007E59D7"/>
    <w:rsid w:val="00812D52"/>
    <w:rsid w:val="0083363B"/>
    <w:rsid w:val="00833B97"/>
    <w:rsid w:val="00845002"/>
    <w:rsid w:val="00845795"/>
    <w:rsid w:val="008459AD"/>
    <w:rsid w:val="00870FA1"/>
    <w:rsid w:val="008730E8"/>
    <w:rsid w:val="0088584B"/>
    <w:rsid w:val="008866D7"/>
    <w:rsid w:val="00893D18"/>
    <w:rsid w:val="00894B97"/>
    <w:rsid w:val="008A294E"/>
    <w:rsid w:val="008B4330"/>
    <w:rsid w:val="008C1B67"/>
    <w:rsid w:val="008C22B0"/>
    <w:rsid w:val="008C3631"/>
    <w:rsid w:val="008D49C8"/>
    <w:rsid w:val="008D6FB7"/>
    <w:rsid w:val="008F3DD7"/>
    <w:rsid w:val="008F4D8D"/>
    <w:rsid w:val="008F7030"/>
    <w:rsid w:val="00904754"/>
    <w:rsid w:val="009057AD"/>
    <w:rsid w:val="00927248"/>
    <w:rsid w:val="00940662"/>
    <w:rsid w:val="0095689C"/>
    <w:rsid w:val="00966AA8"/>
    <w:rsid w:val="00970EE1"/>
    <w:rsid w:val="00993582"/>
    <w:rsid w:val="009B5C17"/>
    <w:rsid w:val="009C235D"/>
    <w:rsid w:val="009D297F"/>
    <w:rsid w:val="009D5BE6"/>
    <w:rsid w:val="009D72A8"/>
    <w:rsid w:val="009E706D"/>
    <w:rsid w:val="009F19D5"/>
    <w:rsid w:val="00A00595"/>
    <w:rsid w:val="00A067A4"/>
    <w:rsid w:val="00A12826"/>
    <w:rsid w:val="00A40D9F"/>
    <w:rsid w:val="00A5397A"/>
    <w:rsid w:val="00A5560F"/>
    <w:rsid w:val="00A83F28"/>
    <w:rsid w:val="00AA68F6"/>
    <w:rsid w:val="00AB7188"/>
    <w:rsid w:val="00AD246B"/>
    <w:rsid w:val="00AD2680"/>
    <w:rsid w:val="00AE0D69"/>
    <w:rsid w:val="00AE10C9"/>
    <w:rsid w:val="00AF2EA0"/>
    <w:rsid w:val="00B006D0"/>
    <w:rsid w:val="00B00EFD"/>
    <w:rsid w:val="00B04351"/>
    <w:rsid w:val="00B10E65"/>
    <w:rsid w:val="00B266F6"/>
    <w:rsid w:val="00B31E3E"/>
    <w:rsid w:val="00B343A9"/>
    <w:rsid w:val="00B47A0B"/>
    <w:rsid w:val="00B514E2"/>
    <w:rsid w:val="00B54159"/>
    <w:rsid w:val="00B54B26"/>
    <w:rsid w:val="00B605ED"/>
    <w:rsid w:val="00B6508E"/>
    <w:rsid w:val="00B72C77"/>
    <w:rsid w:val="00B807B0"/>
    <w:rsid w:val="00B948F4"/>
    <w:rsid w:val="00B95C6C"/>
    <w:rsid w:val="00B97FED"/>
    <w:rsid w:val="00BA2086"/>
    <w:rsid w:val="00BA4DF3"/>
    <w:rsid w:val="00BE1E66"/>
    <w:rsid w:val="00BF1BA5"/>
    <w:rsid w:val="00BF2D56"/>
    <w:rsid w:val="00BF7025"/>
    <w:rsid w:val="00C14BB0"/>
    <w:rsid w:val="00C267EA"/>
    <w:rsid w:val="00C37D03"/>
    <w:rsid w:val="00C60DBC"/>
    <w:rsid w:val="00C63874"/>
    <w:rsid w:val="00C63C43"/>
    <w:rsid w:val="00C85065"/>
    <w:rsid w:val="00C85F28"/>
    <w:rsid w:val="00C92AA5"/>
    <w:rsid w:val="00CB141E"/>
    <w:rsid w:val="00CB710F"/>
    <w:rsid w:val="00CC7DE9"/>
    <w:rsid w:val="00CE1475"/>
    <w:rsid w:val="00D01C84"/>
    <w:rsid w:val="00D04968"/>
    <w:rsid w:val="00D11F77"/>
    <w:rsid w:val="00D1494C"/>
    <w:rsid w:val="00D1498F"/>
    <w:rsid w:val="00D25FF2"/>
    <w:rsid w:val="00D500FD"/>
    <w:rsid w:val="00D52B96"/>
    <w:rsid w:val="00D53291"/>
    <w:rsid w:val="00D60B3F"/>
    <w:rsid w:val="00D61860"/>
    <w:rsid w:val="00D664AC"/>
    <w:rsid w:val="00D84C36"/>
    <w:rsid w:val="00DB13A7"/>
    <w:rsid w:val="00DC7C90"/>
    <w:rsid w:val="00DE22AB"/>
    <w:rsid w:val="00DF5109"/>
    <w:rsid w:val="00DF631B"/>
    <w:rsid w:val="00E01C29"/>
    <w:rsid w:val="00E20938"/>
    <w:rsid w:val="00E27DD0"/>
    <w:rsid w:val="00E30D8B"/>
    <w:rsid w:val="00E32962"/>
    <w:rsid w:val="00E34D73"/>
    <w:rsid w:val="00E3748E"/>
    <w:rsid w:val="00E4239C"/>
    <w:rsid w:val="00E47737"/>
    <w:rsid w:val="00E665D4"/>
    <w:rsid w:val="00E66664"/>
    <w:rsid w:val="00E73A68"/>
    <w:rsid w:val="00E946A8"/>
    <w:rsid w:val="00EA204F"/>
    <w:rsid w:val="00EB6454"/>
    <w:rsid w:val="00EC62F1"/>
    <w:rsid w:val="00ED6535"/>
    <w:rsid w:val="00EE7676"/>
    <w:rsid w:val="00F222C3"/>
    <w:rsid w:val="00F23546"/>
    <w:rsid w:val="00F24811"/>
    <w:rsid w:val="00F26F4E"/>
    <w:rsid w:val="00F376FE"/>
    <w:rsid w:val="00F55CDB"/>
    <w:rsid w:val="00F56142"/>
    <w:rsid w:val="00F563D9"/>
    <w:rsid w:val="00F60596"/>
    <w:rsid w:val="00F634E0"/>
    <w:rsid w:val="00F81C34"/>
    <w:rsid w:val="00F8237B"/>
    <w:rsid w:val="00F878E5"/>
    <w:rsid w:val="00F9645B"/>
    <w:rsid w:val="00FB4311"/>
    <w:rsid w:val="00FB70A2"/>
    <w:rsid w:val="00FC0DBC"/>
    <w:rsid w:val="00FC1294"/>
    <w:rsid w:val="00FC7301"/>
    <w:rsid w:val="00FC740B"/>
    <w:rsid w:val="00FE09B0"/>
    <w:rsid w:val="00FF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4009"/>
  <w15:chartTrackingRefBased/>
  <w15:docId w15:val="{1D95BE1D-4800-4221-BC27-BBD51833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D7"/>
    <w:pPr>
      <w:spacing w:after="0" w:line="240" w:lineRule="auto"/>
    </w:pPr>
    <w:rPr>
      <w:rFonts w:ascii="Calibri" w:eastAsia="Calibri" w:hAnsi="Calibri" w:cs="Times New Roman"/>
      <w:lang w:val="sr-Latn-RS"/>
    </w:rPr>
  </w:style>
  <w:style w:type="paragraph" w:styleId="Heading1">
    <w:name w:val="heading 1"/>
    <w:basedOn w:val="Normal"/>
    <w:link w:val="Heading1Char"/>
    <w:uiPriority w:val="9"/>
    <w:qFormat/>
    <w:rsid w:val="007E59D7"/>
    <w:pPr>
      <w:widowControl w:val="0"/>
      <w:autoSpaceDE w:val="0"/>
      <w:autoSpaceDN w:val="0"/>
      <w:ind w:left="229"/>
      <w:outlineLvl w:val="0"/>
    </w:pPr>
    <w:rPr>
      <w:rFonts w:ascii="Times New Roman" w:eastAsia="Times New Roman" w:hAnsi="Times New Roman"/>
      <w:b/>
      <w:bCs/>
      <w:sz w:val="24"/>
      <w:szCs w:val="24"/>
      <w:lang w:val="hr-HR"/>
    </w:rPr>
  </w:style>
  <w:style w:type="paragraph" w:styleId="Heading2">
    <w:name w:val="heading 2"/>
    <w:basedOn w:val="Normal"/>
    <w:next w:val="Normal"/>
    <w:link w:val="Heading2Char"/>
    <w:uiPriority w:val="9"/>
    <w:semiHidden/>
    <w:unhideWhenUsed/>
    <w:qFormat/>
    <w:rsid w:val="003871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9D7"/>
    <w:rPr>
      <w:rFonts w:ascii="Times New Roman" w:eastAsia="Times New Roman" w:hAnsi="Times New Roman" w:cs="Times New Roman"/>
      <w:b/>
      <w:bCs/>
      <w:sz w:val="24"/>
      <w:szCs w:val="24"/>
      <w:lang w:val="hr-HR"/>
    </w:rPr>
  </w:style>
  <w:style w:type="paragraph" w:styleId="ListParagraph">
    <w:name w:val="List Paragraph"/>
    <w:basedOn w:val="Normal"/>
    <w:qFormat/>
    <w:rsid w:val="007E59D7"/>
    <w:pPr>
      <w:ind w:left="720"/>
      <w:contextualSpacing/>
    </w:pPr>
  </w:style>
  <w:style w:type="table" w:styleId="TableGrid">
    <w:name w:val="Table Grid"/>
    <w:basedOn w:val="TableNormal"/>
    <w:uiPriority w:val="59"/>
    <w:rsid w:val="007E59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87144"/>
    <w:rPr>
      <w:rFonts w:asciiTheme="majorHAnsi" w:eastAsiaTheme="majorEastAsia" w:hAnsiTheme="majorHAnsi" w:cstheme="majorBidi"/>
      <w:color w:val="2F5496" w:themeColor="accent1" w:themeShade="BF"/>
      <w:sz w:val="26"/>
      <w:szCs w:val="26"/>
      <w:lang w:val="sr-Latn-RS"/>
    </w:rPr>
  </w:style>
  <w:style w:type="paragraph" w:styleId="NoSpacing">
    <w:name w:val="No Spacing"/>
    <w:uiPriority w:val="1"/>
    <w:qFormat/>
    <w:rsid w:val="002E208A"/>
    <w:pPr>
      <w:spacing w:after="0" w:line="240" w:lineRule="auto"/>
    </w:pPr>
    <w:rPr>
      <w:rFonts w:eastAsiaTheme="minorEastAsia"/>
    </w:rPr>
  </w:style>
  <w:style w:type="character" w:styleId="CommentReference">
    <w:name w:val="annotation reference"/>
    <w:basedOn w:val="DefaultParagraphFont"/>
    <w:uiPriority w:val="99"/>
    <w:semiHidden/>
    <w:unhideWhenUsed/>
    <w:rsid w:val="008866D7"/>
    <w:rPr>
      <w:sz w:val="16"/>
      <w:szCs w:val="16"/>
    </w:rPr>
  </w:style>
  <w:style w:type="paragraph" w:styleId="CommentText">
    <w:name w:val="annotation text"/>
    <w:basedOn w:val="Normal"/>
    <w:link w:val="CommentTextChar"/>
    <w:uiPriority w:val="99"/>
    <w:semiHidden/>
    <w:unhideWhenUsed/>
    <w:rsid w:val="008866D7"/>
    <w:rPr>
      <w:sz w:val="20"/>
      <w:szCs w:val="20"/>
    </w:rPr>
  </w:style>
  <w:style w:type="character" w:customStyle="1" w:styleId="CommentTextChar">
    <w:name w:val="Comment Text Char"/>
    <w:basedOn w:val="DefaultParagraphFont"/>
    <w:link w:val="CommentText"/>
    <w:uiPriority w:val="99"/>
    <w:semiHidden/>
    <w:rsid w:val="008866D7"/>
    <w:rPr>
      <w:rFonts w:ascii="Calibri" w:eastAsia="Calibri" w:hAnsi="Calibri" w:cs="Times New Roman"/>
      <w:sz w:val="20"/>
      <w:szCs w:val="20"/>
      <w:lang w:val="sr-Latn-RS"/>
    </w:rPr>
  </w:style>
  <w:style w:type="paragraph" w:styleId="CommentSubject">
    <w:name w:val="annotation subject"/>
    <w:basedOn w:val="CommentText"/>
    <w:next w:val="CommentText"/>
    <w:link w:val="CommentSubjectChar"/>
    <w:uiPriority w:val="99"/>
    <w:semiHidden/>
    <w:unhideWhenUsed/>
    <w:rsid w:val="008866D7"/>
    <w:rPr>
      <w:b/>
      <w:bCs/>
    </w:rPr>
  </w:style>
  <w:style w:type="character" w:customStyle="1" w:styleId="CommentSubjectChar">
    <w:name w:val="Comment Subject Char"/>
    <w:basedOn w:val="CommentTextChar"/>
    <w:link w:val="CommentSubject"/>
    <w:uiPriority w:val="99"/>
    <w:semiHidden/>
    <w:rsid w:val="008866D7"/>
    <w:rPr>
      <w:rFonts w:ascii="Calibri" w:eastAsia="Calibri" w:hAnsi="Calibri" w:cs="Times New Roman"/>
      <w:b/>
      <w:bCs/>
      <w:sz w:val="20"/>
      <w:szCs w:val="20"/>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733">
      <w:bodyDiv w:val="1"/>
      <w:marLeft w:val="0"/>
      <w:marRight w:val="0"/>
      <w:marTop w:val="0"/>
      <w:marBottom w:val="0"/>
      <w:divBdr>
        <w:top w:val="none" w:sz="0" w:space="0" w:color="auto"/>
        <w:left w:val="none" w:sz="0" w:space="0" w:color="auto"/>
        <w:bottom w:val="none" w:sz="0" w:space="0" w:color="auto"/>
        <w:right w:val="none" w:sz="0" w:space="0" w:color="auto"/>
      </w:divBdr>
    </w:div>
    <w:div w:id="718475141">
      <w:bodyDiv w:val="1"/>
      <w:marLeft w:val="0"/>
      <w:marRight w:val="0"/>
      <w:marTop w:val="0"/>
      <w:marBottom w:val="0"/>
      <w:divBdr>
        <w:top w:val="none" w:sz="0" w:space="0" w:color="auto"/>
        <w:left w:val="none" w:sz="0" w:space="0" w:color="auto"/>
        <w:bottom w:val="none" w:sz="0" w:space="0" w:color="auto"/>
        <w:right w:val="none" w:sz="0" w:space="0" w:color="auto"/>
      </w:divBdr>
    </w:div>
    <w:div w:id="1272199649">
      <w:bodyDiv w:val="1"/>
      <w:marLeft w:val="0"/>
      <w:marRight w:val="0"/>
      <w:marTop w:val="0"/>
      <w:marBottom w:val="0"/>
      <w:divBdr>
        <w:top w:val="none" w:sz="0" w:space="0" w:color="auto"/>
        <w:left w:val="none" w:sz="0" w:space="0" w:color="auto"/>
        <w:bottom w:val="none" w:sz="0" w:space="0" w:color="auto"/>
        <w:right w:val="none" w:sz="0" w:space="0" w:color="auto"/>
      </w:divBdr>
    </w:div>
    <w:div w:id="16275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51EF-3A1B-466E-8171-885EE202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Medenica, Ana</dc:creator>
  <cp:keywords/>
  <dc:description/>
  <cp:lastModifiedBy>Medenica, Ana</cp:lastModifiedBy>
  <cp:revision>13</cp:revision>
  <cp:lastPrinted>2023-11-03T11:22:00Z</cp:lastPrinted>
  <dcterms:created xsi:type="dcterms:W3CDTF">2025-08-01T14:05:00Z</dcterms:created>
  <dcterms:modified xsi:type="dcterms:W3CDTF">2025-08-01T14:15:00Z</dcterms:modified>
</cp:coreProperties>
</file>